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2408"/>
      </w:tblGrid>
      <w:tr w:rsidR="00163A8D" w14:paraId="7772EE04" w14:textId="77777777">
        <w:trPr>
          <w:trHeight w:hRule="exact" w:val="2835"/>
        </w:trPr>
        <w:tc>
          <w:tcPr>
            <w:tcW w:w="2408" w:type="dxa"/>
            <w:tcBorders>
              <w:bottom w:val="nil"/>
            </w:tcBorders>
          </w:tcPr>
          <w:p w14:paraId="7EB0ED77" w14:textId="77777777" w:rsidR="00163A8D" w:rsidRPr="00B23B9D" w:rsidRDefault="00163A8D" w:rsidP="002E6F9A">
            <w:pPr>
              <w:pStyle w:val="skakt"/>
              <w:keepNext/>
              <w:keepLines/>
              <w:framePr w:w="0" w:h="8505" w:hRule="exact" w:hSpace="142" w:wrap="around" w:vAnchor="text" w:x="8931" w:y="1"/>
              <w:jc w:val="left"/>
              <w:rPr>
                <w:rFonts w:ascii="Arial Black" w:hAnsi="Arial Black"/>
                <w:sz w:val="16"/>
              </w:rPr>
            </w:pPr>
            <w:r w:rsidRPr="00B23B9D">
              <w:rPr>
                <w:rFonts w:ascii="Arial Black" w:hAnsi="Arial Black"/>
                <w:sz w:val="16"/>
              </w:rPr>
              <w:t>Finanstilsynet</w:t>
            </w:r>
          </w:p>
          <w:p w14:paraId="6492F1A7" w14:textId="77777777" w:rsidR="00163A8D" w:rsidRDefault="00163A8D" w:rsidP="002E6F9A">
            <w:pPr>
              <w:pStyle w:val="skakt"/>
              <w:keepNext/>
              <w:keepLines/>
              <w:framePr w:w="0" w:h="8505" w:hRule="exact" w:hSpace="142" w:wrap="around" w:vAnchor="text" w:x="8931" w:y="1"/>
              <w:jc w:val="left"/>
              <w:rPr>
                <w:sz w:val="16"/>
              </w:rPr>
            </w:pPr>
          </w:p>
          <w:p w14:paraId="744D8495" w14:textId="1D954B81" w:rsidR="006C7261" w:rsidRDefault="00BA09F2" w:rsidP="002E6F9A">
            <w:pPr>
              <w:pStyle w:val="skakt"/>
              <w:keepNext/>
              <w:keepLines/>
              <w:framePr w:w="0" w:h="8505" w:hRule="exact" w:hSpace="142" w:wrap="around" w:vAnchor="text" w:x="8931" w:y="1"/>
              <w:jc w:val="left"/>
              <w:rPr>
                <w:sz w:val="16"/>
              </w:rPr>
            </w:pPr>
            <w:bookmarkStart w:id="0" w:name="PCAdato"/>
            <w:bookmarkStart w:id="1" w:name="pDokDato"/>
            <w:bookmarkEnd w:id="0"/>
            <w:r>
              <w:rPr>
                <w:sz w:val="16"/>
              </w:rPr>
              <w:t>14. december</w:t>
            </w:r>
            <w:r w:rsidR="00A45560">
              <w:rPr>
                <w:sz w:val="16"/>
              </w:rPr>
              <w:t xml:space="preserve"> 2023</w:t>
            </w:r>
            <w:bookmarkEnd w:id="1"/>
          </w:p>
          <w:p w14:paraId="5CE43E11" w14:textId="77777777" w:rsidR="00163A8D" w:rsidRDefault="00163A8D" w:rsidP="002E6F9A">
            <w:pPr>
              <w:pStyle w:val="skakt"/>
              <w:keepNext/>
              <w:keepLines/>
              <w:framePr w:w="0" w:h="8505" w:hRule="exact" w:hSpace="142" w:wrap="around" w:vAnchor="text" w:x="8931" w:y="1"/>
              <w:jc w:val="left"/>
              <w:rPr>
                <w:sz w:val="16"/>
              </w:rPr>
            </w:pPr>
            <w:bookmarkStart w:id="2" w:name="Kontor"/>
            <w:bookmarkEnd w:id="2"/>
          </w:p>
          <w:p w14:paraId="3B2DE86B" w14:textId="70A02FE7" w:rsidR="00163A8D" w:rsidRDefault="006C7261" w:rsidP="002E6F9A">
            <w:pPr>
              <w:pStyle w:val="skakt"/>
              <w:keepNext/>
              <w:keepLines/>
              <w:framePr w:w="0" w:h="8505" w:hRule="exact" w:hSpace="142" w:wrap="around" w:vAnchor="text" w:x="8931" w:y="1"/>
              <w:jc w:val="left"/>
              <w:rPr>
                <w:sz w:val="16"/>
              </w:rPr>
            </w:pPr>
            <w:r>
              <w:rPr>
                <w:sz w:val="16"/>
              </w:rPr>
              <w:t>J.nr.</w:t>
            </w:r>
            <w:bookmarkStart w:id="3" w:name="PCASag"/>
            <w:bookmarkEnd w:id="3"/>
            <w:r w:rsidR="00791EC8">
              <w:rPr>
                <w:sz w:val="16"/>
              </w:rPr>
              <w:t xml:space="preserve"> </w:t>
            </w:r>
            <w:r w:rsidR="00791EC8" w:rsidRPr="00BF4C46">
              <w:rPr>
                <w:sz w:val="16"/>
              </w:rPr>
              <w:t>23-00547</w:t>
            </w:r>
          </w:p>
          <w:p w14:paraId="6B3A2D55" w14:textId="77777777" w:rsidR="00C5465E" w:rsidRDefault="00A45560" w:rsidP="002E6F9A">
            <w:pPr>
              <w:pStyle w:val="skakt"/>
              <w:keepNext/>
              <w:keepLines/>
              <w:framePr w:w="0" w:h="8505" w:hRule="exact" w:hSpace="142" w:wrap="around" w:vAnchor="text" w:x="8931" w:y="1"/>
              <w:jc w:val="left"/>
              <w:rPr>
                <w:sz w:val="16"/>
              </w:rPr>
            </w:pPr>
            <w:bookmarkStart w:id="4" w:name="Initialer"/>
            <w:r>
              <w:rPr>
                <w:sz w:val="16"/>
              </w:rPr>
              <w:t>/KIPE</w:t>
            </w:r>
            <w:bookmarkEnd w:id="4"/>
          </w:p>
          <w:p w14:paraId="31E9F544" w14:textId="77777777" w:rsidR="00163A8D" w:rsidRDefault="00163A8D">
            <w:pPr>
              <w:pStyle w:val="skakt"/>
              <w:keepNext/>
              <w:keepLines/>
              <w:framePr w:w="0" w:h="8505" w:hRule="exact" w:hSpace="142" w:wrap="around" w:vAnchor="text" w:x="8931" w:y="1"/>
            </w:pPr>
          </w:p>
        </w:tc>
      </w:tr>
    </w:tbl>
    <w:tbl>
      <w:tblPr>
        <w:tblW w:w="7258" w:type="dxa"/>
        <w:tblInd w:w="-8" w:type="dxa"/>
        <w:tblLayout w:type="fixed"/>
        <w:tblCellMar>
          <w:left w:w="0" w:type="dxa"/>
          <w:right w:w="0" w:type="dxa"/>
        </w:tblCellMar>
        <w:tblLook w:val="0000" w:firstRow="0" w:lastRow="0" w:firstColumn="0" w:lastColumn="0" w:noHBand="0" w:noVBand="0"/>
      </w:tblPr>
      <w:tblGrid>
        <w:gridCol w:w="7258"/>
      </w:tblGrid>
      <w:tr w:rsidR="00163A8D" w14:paraId="35FE0B76" w14:textId="77777777" w:rsidTr="00791EC8">
        <w:trPr>
          <w:cantSplit/>
          <w:trHeight w:val="2040"/>
        </w:trPr>
        <w:tc>
          <w:tcPr>
            <w:tcW w:w="7258" w:type="dxa"/>
          </w:tcPr>
          <w:p w14:paraId="0F221820" w14:textId="77777777" w:rsidR="00163A8D" w:rsidRDefault="00163A8D"/>
          <w:p w14:paraId="2A044317" w14:textId="77777777" w:rsidR="00163A8D" w:rsidRDefault="00163A8D"/>
          <w:p w14:paraId="008E9D6E" w14:textId="77777777" w:rsidR="00163A8D" w:rsidRDefault="00163A8D">
            <w:bookmarkStart w:id="5" w:name="PCAmodtager"/>
            <w:bookmarkEnd w:id="5"/>
          </w:p>
          <w:p w14:paraId="7A3A30CA" w14:textId="77777777" w:rsidR="00163A8D" w:rsidRDefault="00163A8D"/>
          <w:p w14:paraId="256EBF8E" w14:textId="77777777" w:rsidR="00163A8D" w:rsidRDefault="00163A8D"/>
          <w:p w14:paraId="24B76781" w14:textId="77777777" w:rsidR="00163A8D" w:rsidRDefault="00163A8D"/>
          <w:p w14:paraId="2B0A8D31" w14:textId="77777777" w:rsidR="00163A8D" w:rsidRDefault="00163A8D"/>
          <w:p w14:paraId="4ED755A9" w14:textId="77777777" w:rsidR="00163A8D" w:rsidRDefault="00163A8D"/>
        </w:tc>
      </w:tr>
    </w:tbl>
    <w:p w14:paraId="5E97533E" w14:textId="77777777" w:rsidR="00791EC8" w:rsidRDefault="00791EC8" w:rsidP="00791EC8">
      <w:pPr>
        <w:pStyle w:val="Overskrift1"/>
      </w:pPr>
      <w:bookmarkStart w:id="6" w:name="PEmne"/>
      <w:r>
        <w:t xml:space="preserve">Resume af </w:t>
      </w:r>
      <w:bookmarkEnd w:id="6"/>
      <w:r>
        <w:t xml:space="preserve">anordning om ikrafttræden for Færøerne af en række ændringer af lov om </w:t>
      </w:r>
      <w:r w:rsidRPr="00E540CF">
        <w:t>forebyggende foranstaltninger mod hvidvask og finansiering af terrorisme (hvidvaskloven)</w:t>
      </w:r>
      <w:r>
        <w:t xml:space="preserve"> </w:t>
      </w:r>
    </w:p>
    <w:p w14:paraId="6E0A8A40" w14:textId="77777777" w:rsidR="00163A8D" w:rsidRDefault="00163A8D" w:rsidP="00CF4780">
      <w:pPr>
        <w:pStyle w:val="Brdtekst"/>
      </w:pPr>
    </w:p>
    <w:p w14:paraId="55B7B51F" w14:textId="77777777" w:rsidR="00A45560" w:rsidRDefault="00A45560" w:rsidP="00A45560">
      <w:pPr>
        <w:pStyle w:val="Brdtekst"/>
      </w:pPr>
      <w:bookmarkStart w:id="7" w:name="PCAoverskrift"/>
      <w:bookmarkEnd w:id="7"/>
    </w:p>
    <w:p w14:paraId="03AC4234" w14:textId="77777777" w:rsidR="00A45560" w:rsidRDefault="00A45560" w:rsidP="00A45560">
      <w:pPr>
        <w:pStyle w:val="Overskrift2"/>
        <w:jc w:val="center"/>
      </w:pPr>
      <w:r>
        <w:t>Generelt</w:t>
      </w:r>
    </w:p>
    <w:p w14:paraId="02747380" w14:textId="1170D25E" w:rsidR="00A45560" w:rsidRDefault="00A45560" w:rsidP="00A45560">
      <w:r>
        <w:t>Nedenfor findes et resume over de påtænkte ændringer af hvidvaskloven som ønskes sat i kraft for Færøerne, og forslaget til tilpasninger til færøske forhold.</w:t>
      </w:r>
    </w:p>
    <w:p w14:paraId="487FA83A" w14:textId="77777777" w:rsidR="00A45560" w:rsidRDefault="00A45560" w:rsidP="00A45560"/>
    <w:p w14:paraId="646591C9" w14:textId="77777777" w:rsidR="00A45560" w:rsidRDefault="00A45560" w:rsidP="00A45560">
      <w:pPr>
        <w:tabs>
          <w:tab w:val="left" w:pos="-284"/>
        </w:tabs>
      </w:pPr>
      <w:r>
        <w:t xml:space="preserve">De relevante lovændringer følger af </w:t>
      </w:r>
      <w:bookmarkStart w:id="8" w:name="_Hlk138148853"/>
    </w:p>
    <w:p w14:paraId="2796BF43" w14:textId="77777777" w:rsidR="00A45560" w:rsidRDefault="00A45560" w:rsidP="00A45560">
      <w:pPr>
        <w:pStyle w:val="Listeafsnit"/>
        <w:numPr>
          <w:ilvl w:val="0"/>
          <w:numId w:val="7"/>
        </w:numPr>
        <w:tabs>
          <w:tab w:val="left" w:pos="-284"/>
        </w:tabs>
        <w:spacing w:after="140"/>
      </w:pPr>
      <w:r>
        <w:t xml:space="preserve">§ 2 i </w:t>
      </w:r>
      <w:bookmarkStart w:id="9" w:name="_Hlk138148822"/>
      <w:r>
        <w:t xml:space="preserve">lov nr. </w:t>
      </w:r>
      <w:bookmarkEnd w:id="8"/>
      <w:bookmarkEnd w:id="9"/>
      <w:r>
        <w:t>1940 af 15. december 2020</w:t>
      </w:r>
    </w:p>
    <w:p w14:paraId="5D342EC0" w14:textId="77777777" w:rsidR="00A45560" w:rsidRDefault="00A45560" w:rsidP="00A45560">
      <w:pPr>
        <w:pStyle w:val="Listeafsnit"/>
        <w:numPr>
          <w:ilvl w:val="0"/>
          <w:numId w:val="7"/>
        </w:numPr>
        <w:tabs>
          <w:tab w:val="left" w:pos="-284"/>
        </w:tabs>
        <w:spacing w:after="140" w:line="240" w:lineRule="auto"/>
        <w:jc w:val="left"/>
        <w:textAlignment w:val="center"/>
      </w:pPr>
      <w:r>
        <w:t>§ 7 i lov nr. 1163 af den 8. juni 2021</w:t>
      </w:r>
    </w:p>
    <w:p w14:paraId="35F26B8B" w14:textId="77777777" w:rsidR="00A45560" w:rsidRDefault="00A45560" w:rsidP="00A45560">
      <w:pPr>
        <w:pStyle w:val="Listeafsnit"/>
        <w:numPr>
          <w:ilvl w:val="0"/>
          <w:numId w:val="7"/>
        </w:numPr>
        <w:tabs>
          <w:tab w:val="left" w:pos="-284"/>
        </w:tabs>
        <w:spacing w:after="140" w:line="240" w:lineRule="auto"/>
        <w:jc w:val="left"/>
        <w:textAlignment w:val="center"/>
      </w:pPr>
      <w:r>
        <w:t>§ 302 i lov nr. 1155 af 8. juni 2021</w:t>
      </w:r>
    </w:p>
    <w:p w14:paraId="30148DA3" w14:textId="77777777" w:rsidR="00A45560" w:rsidRDefault="00A45560" w:rsidP="00A45560">
      <w:pPr>
        <w:pStyle w:val="Listeafsnit"/>
        <w:numPr>
          <w:ilvl w:val="0"/>
          <w:numId w:val="7"/>
        </w:numPr>
        <w:tabs>
          <w:tab w:val="left" w:pos="-284"/>
        </w:tabs>
        <w:spacing w:after="140" w:line="240" w:lineRule="auto"/>
        <w:jc w:val="left"/>
        <w:textAlignment w:val="center"/>
      </w:pPr>
      <w:r>
        <w:t>§ 5 i lov nr. 2382 af 14. december 2021</w:t>
      </w:r>
    </w:p>
    <w:p w14:paraId="3AA20019" w14:textId="4FBDEEAD" w:rsidR="00480CFA" w:rsidRDefault="00480CFA" w:rsidP="00A45560">
      <w:pPr>
        <w:pStyle w:val="Listeafsnit"/>
        <w:numPr>
          <w:ilvl w:val="0"/>
          <w:numId w:val="7"/>
        </w:numPr>
        <w:tabs>
          <w:tab w:val="left" w:pos="-284"/>
        </w:tabs>
        <w:spacing w:after="140" w:line="240" w:lineRule="auto"/>
        <w:jc w:val="left"/>
        <w:textAlignment w:val="center"/>
      </w:pPr>
      <w:r>
        <w:t>§ 3 i lov nr. 2601 af 28. december 2021</w:t>
      </w:r>
    </w:p>
    <w:p w14:paraId="1F8A6D66" w14:textId="77777777" w:rsidR="00A45560" w:rsidRDefault="00A45560" w:rsidP="00A45560">
      <w:pPr>
        <w:pStyle w:val="Listeafsnit"/>
        <w:numPr>
          <w:ilvl w:val="0"/>
          <w:numId w:val="7"/>
        </w:numPr>
        <w:tabs>
          <w:tab w:val="left" w:pos="-284"/>
        </w:tabs>
        <w:spacing w:after="140" w:line="240" w:lineRule="auto"/>
        <w:jc w:val="left"/>
        <w:textAlignment w:val="center"/>
      </w:pPr>
      <w:r>
        <w:t>§ 9 i lov nr. 409 af 31. marts 2022</w:t>
      </w:r>
    </w:p>
    <w:p w14:paraId="1C93AAF6" w14:textId="77777777" w:rsidR="00A45560" w:rsidRDefault="00A45560" w:rsidP="00A45560">
      <w:pPr>
        <w:pStyle w:val="Listeafsnit"/>
        <w:numPr>
          <w:ilvl w:val="0"/>
          <w:numId w:val="7"/>
        </w:numPr>
        <w:tabs>
          <w:tab w:val="left" w:pos="-284"/>
        </w:tabs>
        <w:spacing w:after="140" w:line="240" w:lineRule="auto"/>
        <w:jc w:val="left"/>
        <w:textAlignment w:val="center"/>
      </w:pPr>
      <w:r>
        <w:t>§ 4 i lov nr. 570 af 10. maj 2022</w:t>
      </w:r>
    </w:p>
    <w:p w14:paraId="68126F17" w14:textId="77777777" w:rsidR="00A45560" w:rsidRDefault="00A45560" w:rsidP="00A45560">
      <w:pPr>
        <w:pStyle w:val="Listeafsnit"/>
        <w:numPr>
          <w:ilvl w:val="0"/>
          <w:numId w:val="7"/>
        </w:numPr>
        <w:tabs>
          <w:tab w:val="left" w:pos="-284"/>
        </w:tabs>
        <w:spacing w:after="140" w:line="240" w:lineRule="auto"/>
        <w:jc w:val="left"/>
        <w:textAlignment w:val="center"/>
      </w:pPr>
      <w:r>
        <w:t>§ 2 i lov nr. 480 af 12. maj 2023</w:t>
      </w:r>
    </w:p>
    <w:p w14:paraId="263CA963" w14:textId="77777777" w:rsidR="00A45560" w:rsidRDefault="00A45560" w:rsidP="00A45560"/>
    <w:p w14:paraId="003B0140" w14:textId="309BC2F6" w:rsidR="00A45560" w:rsidRDefault="00A45560" w:rsidP="00A45560">
      <w:r>
        <w:t xml:space="preserve">Anordningen forventes at træde i kraft </w:t>
      </w:r>
      <w:r w:rsidR="00357188">
        <w:t>1.juli 2024</w:t>
      </w:r>
      <w:r>
        <w:t>. Et samlet anordningsudkast vedhæftes.</w:t>
      </w:r>
    </w:p>
    <w:p w14:paraId="72ABB642" w14:textId="77777777" w:rsidR="00A45560" w:rsidRDefault="00A45560" w:rsidP="00A45560">
      <w:pPr>
        <w:pStyle w:val="Underoverskrift"/>
      </w:pPr>
      <w:r>
        <w:t>Forhold til EU</w:t>
      </w:r>
    </w:p>
    <w:p w14:paraId="407C0328" w14:textId="1887D2E8" w:rsidR="00A45560" w:rsidRPr="00E540CF" w:rsidRDefault="00A45560" w:rsidP="00A45560">
      <w:r w:rsidRPr="00E540CF">
        <w:t>Henvisninger til EU-retsakter er som udgangspunkt udgå</w:t>
      </w:r>
      <w:r w:rsidRPr="00BF4C46">
        <w:t xml:space="preserve">et. Enkelte retsakter er sat i kraft for </w:t>
      </w:r>
      <w:r>
        <w:t>Færøerne</w:t>
      </w:r>
      <w:r w:rsidRPr="00BF4C46">
        <w:t>, og henvisningen til disse er ændret i overensstemmelse hermed.</w:t>
      </w:r>
    </w:p>
    <w:p w14:paraId="7091DD16" w14:textId="77777777" w:rsidR="00A45560" w:rsidRPr="00B255AF" w:rsidRDefault="00A45560" w:rsidP="00A45560">
      <w:pPr>
        <w:rPr>
          <w:i/>
          <w:iCs/>
        </w:rPr>
      </w:pPr>
    </w:p>
    <w:p w14:paraId="26DB80BE" w14:textId="77777777" w:rsidR="00A45560" w:rsidRPr="00B255AF" w:rsidRDefault="00A45560" w:rsidP="00A45560">
      <w:pPr>
        <w:rPr>
          <w:i/>
          <w:iCs/>
        </w:rPr>
      </w:pPr>
    </w:p>
    <w:p w14:paraId="4DE6B44B" w14:textId="77777777" w:rsidR="00A45560" w:rsidRDefault="00A45560" w:rsidP="00A45560">
      <w:pPr>
        <w:pStyle w:val="Underoverskrift"/>
      </w:pPr>
      <w:r>
        <w:lastRenderedPageBreak/>
        <w:t>Resumé af ændringer</w:t>
      </w:r>
    </w:p>
    <w:p w14:paraId="269F6EB9" w14:textId="77777777" w:rsidR="00A45560" w:rsidRDefault="00A45560" w:rsidP="00A45560">
      <w:r>
        <w:t xml:space="preserve">Nedenfor er de væsentligste ændringer til ovennævnte lovændringer gennemgået. </w:t>
      </w:r>
      <w:r w:rsidRPr="008354A8">
        <w:t xml:space="preserve">En </w:t>
      </w:r>
      <w:r>
        <w:t>stor</w:t>
      </w:r>
      <w:r w:rsidRPr="008354A8">
        <w:t xml:space="preserve"> del af ændringer</w:t>
      </w:r>
      <w:r>
        <w:t>ne</w:t>
      </w:r>
      <w:r w:rsidRPr="008354A8">
        <w:t xml:space="preserve"> er konsekvensrettelser af henvisninger i loven som følge af ændringerne.</w:t>
      </w:r>
      <w:r>
        <w:t xml:space="preserve"> Disse redegøres der ikke for i det følgende.</w:t>
      </w:r>
    </w:p>
    <w:p w14:paraId="4D678201" w14:textId="77777777" w:rsidR="00A45560" w:rsidRDefault="00A45560" w:rsidP="00A45560"/>
    <w:p w14:paraId="16F32F31" w14:textId="77777777" w:rsidR="00A45560" w:rsidRDefault="00A45560" w:rsidP="00A45560">
      <w:pPr>
        <w:pStyle w:val="Underoverskrift"/>
        <w:numPr>
          <w:ilvl w:val="1"/>
          <w:numId w:val="6"/>
        </w:numPr>
      </w:pPr>
      <w:r w:rsidRPr="00E540CF">
        <w:t>§ 2 i lov nr. 1940 af 15. december 2020</w:t>
      </w:r>
    </w:p>
    <w:p w14:paraId="0A662194" w14:textId="6066E1DA" w:rsidR="00A45560" w:rsidRDefault="00A45560" w:rsidP="00A45560">
      <w:r>
        <w:t xml:space="preserve">Lovændringen indebærer bl.a. en </w:t>
      </w:r>
      <w:proofErr w:type="spellStart"/>
      <w:r>
        <w:t>nyaffattelse</w:t>
      </w:r>
      <w:proofErr w:type="spellEnd"/>
      <w:r>
        <w:t xml:space="preserve"> af § 25, stk. 1, angående undersøgelsespligten. Herudover indføres med lovændringen et forbud mod indløsning af betalinger foretaget med anonyme forudbetalte kort fra tredjelande (§ 5a), og endeligt indeholder lovændringen bestemmelser om Advokatrådets virke og kompetencer </w:t>
      </w:r>
      <w:r w:rsidR="00B449A4">
        <w:t>(</w:t>
      </w:r>
      <w:r>
        <w:t>§ 64 a).</w:t>
      </w:r>
    </w:p>
    <w:p w14:paraId="0B22D5C7" w14:textId="77777777" w:rsidR="00A45560" w:rsidRDefault="00A45560" w:rsidP="00A45560"/>
    <w:p w14:paraId="526FF0CF" w14:textId="77777777" w:rsidR="00A45560" w:rsidRDefault="00A45560" w:rsidP="00A45560">
      <w:pPr>
        <w:pStyle w:val="Underoverskrift"/>
        <w:numPr>
          <w:ilvl w:val="1"/>
          <w:numId w:val="6"/>
        </w:numPr>
      </w:pPr>
      <w:r w:rsidRPr="00E540CF">
        <w:t>§ 7 i lov nr. 1163 af den 8. juni 2021</w:t>
      </w:r>
    </w:p>
    <w:p w14:paraId="08F7A09F" w14:textId="5FFF7F91" w:rsidR="00A45560" w:rsidRDefault="00A45560" w:rsidP="00A45560">
      <w:r>
        <w:t>Lovændringen indebærer</w:t>
      </w:r>
      <w:r w:rsidR="00AB2574">
        <w:t xml:space="preserve"> bl.a.</w:t>
      </w:r>
      <w:r>
        <w:t xml:space="preserve">, at udbydere og udstedere af virtuelle valutaer omfattes af hvidvaskloven, og konsekvensændringer i den henseende (§ 1, stk. 1, nr. 25-27). </w:t>
      </w:r>
    </w:p>
    <w:p w14:paraId="1ED9B421" w14:textId="77777777" w:rsidR="00A45560" w:rsidRDefault="00A45560" w:rsidP="00A45560"/>
    <w:p w14:paraId="20E00A97" w14:textId="77777777" w:rsidR="00A45560" w:rsidRDefault="00A45560" w:rsidP="00A45560">
      <w:pPr>
        <w:pStyle w:val="Underoverskrift"/>
        <w:numPr>
          <w:ilvl w:val="1"/>
          <w:numId w:val="6"/>
        </w:numPr>
      </w:pPr>
      <w:r w:rsidRPr="00343E6F">
        <w:t>§ 302 i lov nr. 1155 af 8. juni 2021</w:t>
      </w:r>
    </w:p>
    <w:p w14:paraId="4E0309F6" w14:textId="77777777" w:rsidR="00A45560" w:rsidRDefault="00A45560" w:rsidP="00A45560"/>
    <w:p w14:paraId="65A20AAA" w14:textId="77777777" w:rsidR="00A45560" w:rsidRDefault="00A45560" w:rsidP="00A45560">
      <w:r>
        <w:t xml:space="preserve">Der er udelukkende tale om konsekvensændringer som følge af foretagne ændringer i </w:t>
      </w:r>
      <w:r w:rsidRPr="00844ECB">
        <w:t>definitionen af en finansiel virksomhed</w:t>
      </w:r>
      <w:r>
        <w:t xml:space="preserve"> i </w:t>
      </w:r>
      <w:r w:rsidRPr="00844ECB">
        <w:t>lov om fondsmæglerselskaber og investerings-service og -aktiviteter</w:t>
      </w:r>
      <w:r>
        <w:t xml:space="preserve">. </w:t>
      </w:r>
    </w:p>
    <w:p w14:paraId="10D78863" w14:textId="77777777" w:rsidR="00A45560" w:rsidRDefault="00A45560" w:rsidP="00A45560"/>
    <w:p w14:paraId="379807C5" w14:textId="77777777" w:rsidR="00A45560" w:rsidRDefault="00A45560" w:rsidP="00A45560">
      <w:pPr>
        <w:pStyle w:val="Underoverskrift"/>
        <w:numPr>
          <w:ilvl w:val="1"/>
          <w:numId w:val="6"/>
        </w:numPr>
      </w:pPr>
      <w:r w:rsidRPr="00844ECB">
        <w:t>§ 5 i lov nr. 2382 af 14. december 2021</w:t>
      </w:r>
    </w:p>
    <w:p w14:paraId="5E6EE72F" w14:textId="77777777" w:rsidR="00A45560" w:rsidRDefault="00A45560" w:rsidP="00A45560"/>
    <w:p w14:paraId="5FA7CF03" w14:textId="01F979DF" w:rsidR="00A45560" w:rsidRDefault="00A45560" w:rsidP="00A45560">
      <w:pPr>
        <w:jc w:val="left"/>
      </w:pPr>
      <w:r>
        <w:t>Med lovændringen</w:t>
      </w:r>
      <w:r w:rsidRPr="00284EB6">
        <w:t xml:space="preserve">, </w:t>
      </w:r>
      <w:r>
        <w:t xml:space="preserve">vil det </w:t>
      </w:r>
      <w:r w:rsidRPr="00284EB6">
        <w:t xml:space="preserve">eksplicit fremgå af § 1, stk. 1, at udenlandske forpligtede virksomheders og personers filialer, distributører og agenter, der udøver virksomhed </w:t>
      </w:r>
      <w:r w:rsidR="00BF478D">
        <w:t>på Færøerne</w:t>
      </w:r>
      <w:r w:rsidRPr="00284EB6">
        <w:t>, er omfattet af lovens anvendelsesområde</w:t>
      </w:r>
      <w:r>
        <w:t>. D</w:t>
      </w:r>
      <w:r w:rsidRPr="00284EB6">
        <w:t>er</w:t>
      </w:r>
      <w:r>
        <w:t xml:space="preserve"> sker </w:t>
      </w:r>
      <w:r w:rsidRPr="00284EB6">
        <w:t xml:space="preserve">ikke en udvidelse af, hvilke typer af virksomheder, der kan udøve virksomhed </w:t>
      </w:r>
      <w:r w:rsidR="00BF478D">
        <w:t>på Færøerne</w:t>
      </w:r>
      <w:r w:rsidRPr="00284EB6">
        <w:t xml:space="preserve"> gennem filialer, distributører eller agenter. </w:t>
      </w:r>
      <w:r>
        <w:t xml:space="preserve">Ændringen er alene præcisering af gældende ret. </w:t>
      </w:r>
    </w:p>
    <w:p w14:paraId="43BD973B" w14:textId="77777777" w:rsidR="00A45560" w:rsidRDefault="00A45560" w:rsidP="00A45560">
      <w:pPr>
        <w:ind w:left="1304" w:hanging="1304"/>
      </w:pPr>
    </w:p>
    <w:p w14:paraId="5B5F96E9" w14:textId="77777777" w:rsidR="00A45560" w:rsidRDefault="00A45560" w:rsidP="00A45560">
      <w:pPr>
        <w:jc w:val="left"/>
      </w:pPr>
      <w:r>
        <w:t xml:space="preserve">Som konsekvens heraf ophæves § 1, stk. 1, nr. 9 i hvidvaskloven, </w:t>
      </w:r>
      <w:r w:rsidRPr="00E35D4B">
        <w:t>da denne herefter vil være indeholdt i § 1, stk. 1</w:t>
      </w:r>
      <w:r>
        <w:t xml:space="preserve">. Ændringen </w:t>
      </w:r>
      <w:r w:rsidRPr="00E35D4B">
        <w:t>medfører ikke en materiel ændring af hvidvaskloven</w:t>
      </w:r>
      <w:r>
        <w:t xml:space="preserve">. Som konsekvens af ophævelsen af § 1, stk. 1, nr. 9 medfører dette numerisk forskydning i loven. </w:t>
      </w:r>
    </w:p>
    <w:p w14:paraId="48A5A89F" w14:textId="77777777" w:rsidR="00480CFA" w:rsidRDefault="00480CFA" w:rsidP="00A45560">
      <w:pPr>
        <w:jc w:val="left"/>
      </w:pPr>
    </w:p>
    <w:p w14:paraId="18602511" w14:textId="16AB4F1F" w:rsidR="00480CFA" w:rsidRDefault="00480CFA" w:rsidP="00480CFA">
      <w:pPr>
        <w:pStyle w:val="Underoverskrift"/>
        <w:numPr>
          <w:ilvl w:val="1"/>
          <w:numId w:val="6"/>
        </w:numPr>
      </w:pPr>
      <w:r>
        <w:lastRenderedPageBreak/>
        <w:t>§ 3 i lov nr. 2601 af 28. december 2021</w:t>
      </w:r>
    </w:p>
    <w:p w14:paraId="7D2D58BC" w14:textId="77777777" w:rsidR="00A45560" w:rsidRDefault="00A45560" w:rsidP="00A45560"/>
    <w:p w14:paraId="2A60EC4C" w14:textId="1B4C00CE" w:rsidR="00547C62" w:rsidRDefault="00547C62" w:rsidP="00A45560">
      <w:r>
        <w:t xml:space="preserve">Med </w:t>
      </w:r>
      <w:r w:rsidR="003D4260">
        <w:t xml:space="preserve">lov nr. 2601 af 28. december 2021 blev en </w:t>
      </w:r>
      <w:r>
        <w:t xml:space="preserve">ny </w:t>
      </w:r>
      <w:r w:rsidRPr="00547C62">
        <w:t>national enhed i politiet</w:t>
      </w:r>
      <w:r w:rsidR="003D4260">
        <w:t xml:space="preserve"> etableret i Danmark,</w:t>
      </w:r>
      <w:r w:rsidR="003D4260" w:rsidRPr="003D4260">
        <w:t xml:space="preserve"> </w:t>
      </w:r>
      <w:r w:rsidR="003D4260">
        <w:t>National Enhed for Særlig Kriminalitet</w:t>
      </w:r>
      <w:r w:rsidR="00EC7075">
        <w:t xml:space="preserve"> (NSK)</w:t>
      </w:r>
      <w:r w:rsidR="003D4260">
        <w:t>. I denne enhed blev</w:t>
      </w:r>
      <w:r w:rsidRPr="00547C62">
        <w:t xml:space="preserve"> de mest specialiserede politi- og anklagerfaglige kompetencer samle</w:t>
      </w:r>
      <w:r w:rsidR="003D4260">
        <w:t xml:space="preserve">t. </w:t>
      </w:r>
      <w:r>
        <w:t xml:space="preserve">Henvisninger i hvidvaskloven til Statsadvokaten for Særlig Økonomisk og International Kriminalitet ændres dermed til National Enhed for Særlig Økonomisk Kriminalitet. </w:t>
      </w:r>
    </w:p>
    <w:p w14:paraId="73CE2844" w14:textId="77777777" w:rsidR="00547C62" w:rsidRDefault="00547C62" w:rsidP="00A45560"/>
    <w:p w14:paraId="1A3FA50B" w14:textId="3378518E" w:rsidR="00480CFA" w:rsidRDefault="00547C62" w:rsidP="00A45560">
      <w:r>
        <w:t xml:space="preserve">Herudover </w:t>
      </w:r>
      <w:r w:rsidR="009A42AD" w:rsidRPr="009A42AD">
        <w:t xml:space="preserve">etableres </w:t>
      </w:r>
      <w:r>
        <w:t xml:space="preserve">i hvidvasklovens § 26 (ny stk. 4 og 5) </w:t>
      </w:r>
      <w:r w:rsidR="009A42AD" w:rsidRPr="009A42AD">
        <w:t>en fast track-ordning, hvorefter hvidvaskunderretninger fra underretningspligtige efter hvidvaskloven (banker mv.) vedrørende større og særligt mistænkelige transaktioner skal underkastes en særlig behandling i Hvidvasksekretariatet kombineret med en pligt for den underretningspligtige til at fastfryse transaktionen, indtil der senest ved udgangen af den efterfølgende bankdag er modtaget en tilbagemelding fra sekretariatet om, hvorvidt der skal ske beslaglæggelse</w:t>
      </w:r>
      <w:r>
        <w:t>.</w:t>
      </w:r>
    </w:p>
    <w:p w14:paraId="2FAB8B71" w14:textId="77777777" w:rsidR="00547C62" w:rsidRDefault="00547C62" w:rsidP="00A45560"/>
    <w:p w14:paraId="25315358" w14:textId="112A67FF" w:rsidR="00547C62" w:rsidRDefault="00547C62" w:rsidP="00A45560">
      <w:r>
        <w:t xml:space="preserve">Endelig indsættes § 38 a, som fastslår en </w:t>
      </w:r>
      <w:r w:rsidRPr="00547C62">
        <w:t>udvidelse af rækkevidden af tavshedspligten i forhold til modtagere af hvidvaskunderretninger fra Hvidvasksekretariatet</w:t>
      </w:r>
      <w:r>
        <w:t xml:space="preserve">. Herved </w:t>
      </w:r>
      <w:r w:rsidRPr="00547C62">
        <w:t>udstrække</w:t>
      </w:r>
      <w:r>
        <w:t>s</w:t>
      </w:r>
      <w:r w:rsidRPr="00547C62">
        <w:t xml:space="preserve"> tavshedspligten vedrørende oplysninger, som hidrører fra underretninger efter hvidvasklovens § 26, til ansatte ved alle offentlige myndigheder</w:t>
      </w:r>
      <w:r>
        <w:t>.</w:t>
      </w:r>
    </w:p>
    <w:p w14:paraId="4FB21A4F" w14:textId="77777777" w:rsidR="00A45560" w:rsidRDefault="00A45560" w:rsidP="00A45560">
      <w:pPr>
        <w:pStyle w:val="Underoverskrift"/>
        <w:numPr>
          <w:ilvl w:val="1"/>
          <w:numId w:val="6"/>
        </w:numPr>
      </w:pPr>
      <w:r w:rsidRPr="00E15696">
        <w:t>§ 9 i lov nr. 409 af 31. marts 2022</w:t>
      </w:r>
    </w:p>
    <w:p w14:paraId="7EA825D5" w14:textId="77777777" w:rsidR="00A45560" w:rsidRDefault="00A45560" w:rsidP="00A45560"/>
    <w:p w14:paraId="13C0541E" w14:textId="318D6AE2" w:rsidR="00A45560" w:rsidRDefault="00A45560" w:rsidP="00A45560">
      <w:r>
        <w:t>Ændringen i hvidvaskloven betyder</w:t>
      </w:r>
      <w:r w:rsidRPr="00D10213">
        <w:t>, at Finanstilsynet</w:t>
      </w:r>
      <w:r w:rsidR="009A42AD">
        <w:t xml:space="preserve"> og</w:t>
      </w:r>
      <w:r>
        <w:t xml:space="preserve"> Advokatrådet</w:t>
      </w:r>
      <w:r w:rsidRPr="00D10213">
        <w:t xml:space="preserve"> kan påse overholdelsen af love, der indeholder regler om finansielle sanktioner mod lande, personer, grupper, juridiske enheder eller organer</w:t>
      </w:r>
      <w:r>
        <w:t xml:space="preserve">. </w:t>
      </w:r>
      <w:r w:rsidRPr="00D10213">
        <w:t xml:space="preserve">Dette betyder </w:t>
      </w:r>
      <w:proofErr w:type="gramStart"/>
      <w:r w:rsidRPr="00D10213">
        <w:t>eksempelvis</w:t>
      </w:r>
      <w:proofErr w:type="gramEnd"/>
      <w:r w:rsidRPr="00D10213">
        <w:t>, at</w:t>
      </w:r>
      <w:r w:rsidRPr="00E827C0">
        <w:t xml:space="preserve"> </w:t>
      </w:r>
      <w:r w:rsidRPr="00D10213">
        <w:t>Finanstilsynet</w:t>
      </w:r>
      <w:r w:rsidR="009A42AD">
        <w:t xml:space="preserve"> og </w:t>
      </w:r>
      <w:r>
        <w:t xml:space="preserve">Advokatrådet </w:t>
      </w:r>
      <w:r w:rsidRPr="00D10213">
        <w:t xml:space="preserve">kan påse overholdelse af lov </w:t>
      </w:r>
      <w:r>
        <w:t xml:space="preserve">for </w:t>
      </w:r>
      <w:r w:rsidR="00480CFA">
        <w:t>Færøerne</w:t>
      </w:r>
      <w:r>
        <w:t xml:space="preserve"> </w:t>
      </w:r>
      <w:r w:rsidRPr="00D10213">
        <w:t xml:space="preserve">om </w:t>
      </w:r>
      <w:r>
        <w:t xml:space="preserve">gennemførelse af restriktive foranstaltninger over for Rusland og Belarus. </w:t>
      </w:r>
    </w:p>
    <w:p w14:paraId="5467C090" w14:textId="77777777" w:rsidR="00A45560" w:rsidRDefault="00A45560" w:rsidP="00A45560"/>
    <w:p w14:paraId="2B5340F6" w14:textId="7ADB4530" w:rsidR="00A45560" w:rsidRDefault="00A45560" w:rsidP="00A45560">
      <w:r>
        <w:t xml:space="preserve">Lovændringerne indebærer dermed </w:t>
      </w:r>
      <w:r w:rsidRPr="00AA2A6B">
        <w:t xml:space="preserve">en udvidelse af </w:t>
      </w:r>
      <w:r w:rsidRPr="00D10213">
        <w:t>Finanstilsynet</w:t>
      </w:r>
      <w:r>
        <w:t>s</w:t>
      </w:r>
      <w:r w:rsidR="009A42AD">
        <w:t xml:space="preserve"> og</w:t>
      </w:r>
      <w:r>
        <w:t xml:space="preserve"> Advokatrådets </w:t>
      </w:r>
      <w:r w:rsidRPr="00AA2A6B">
        <w:t xml:space="preserve">tilsynskompetencer, men vil derudover ikke ændre de beføjelser, som </w:t>
      </w:r>
      <w:r>
        <w:t>tilsynsmyndighederne</w:t>
      </w:r>
      <w:r w:rsidRPr="00AA2A6B">
        <w:t xml:space="preserve"> kan anvende i udøvelse af tilsynet. </w:t>
      </w:r>
    </w:p>
    <w:p w14:paraId="33EFDF61" w14:textId="77777777" w:rsidR="00A45560" w:rsidRDefault="00A45560" w:rsidP="00A45560"/>
    <w:p w14:paraId="1459670E" w14:textId="0B86AA08" w:rsidR="00A45560" w:rsidRDefault="00A45560" w:rsidP="00A45560">
      <w:r w:rsidRPr="00AA2A6B">
        <w:t xml:space="preserve">Det foreslåede medfører ikke, at flere virksomheder og personer vil være underlagt </w:t>
      </w:r>
      <w:r w:rsidRPr="00D10213">
        <w:t>Finanstilsynet</w:t>
      </w:r>
      <w:r>
        <w:t>s</w:t>
      </w:r>
      <w:r w:rsidR="009A42AD">
        <w:t xml:space="preserve"> og</w:t>
      </w:r>
      <w:r>
        <w:t xml:space="preserve"> Advokatrådets </w:t>
      </w:r>
      <w:r w:rsidRPr="00AA2A6B">
        <w:t xml:space="preserve">tilsyn. Det medfører heller ikke en ændring i </w:t>
      </w:r>
      <w:r w:rsidRPr="00D10213">
        <w:t>Finanstilsynet</w:t>
      </w:r>
      <w:r>
        <w:t>s</w:t>
      </w:r>
      <w:r w:rsidR="009A42AD">
        <w:t xml:space="preserve"> og</w:t>
      </w:r>
      <w:r>
        <w:t xml:space="preserve"> Advokatrådets </w:t>
      </w:r>
      <w:r w:rsidRPr="00AA2A6B">
        <w:t>tilsynspraksis i henhold til hvidvaskloven</w:t>
      </w:r>
      <w:r>
        <w:t xml:space="preserve">. </w:t>
      </w:r>
    </w:p>
    <w:p w14:paraId="44D33D42" w14:textId="77777777" w:rsidR="00A45560" w:rsidRDefault="00A45560" w:rsidP="00A45560"/>
    <w:p w14:paraId="76E1D727" w14:textId="77777777" w:rsidR="00A45560" w:rsidRDefault="00A45560" w:rsidP="00A45560">
      <w:pPr>
        <w:pStyle w:val="Underoverskrift"/>
        <w:numPr>
          <w:ilvl w:val="1"/>
          <w:numId w:val="6"/>
        </w:numPr>
      </w:pPr>
      <w:r>
        <w:t>§ 4 i lov nr. 570 af 10. maj 2022</w:t>
      </w:r>
    </w:p>
    <w:p w14:paraId="5107ECA0" w14:textId="77777777" w:rsidR="00A45560" w:rsidRDefault="00A45560" w:rsidP="00A45560"/>
    <w:p w14:paraId="380DA0E6" w14:textId="77777777" w:rsidR="00A45560" w:rsidRDefault="00A45560" w:rsidP="00A45560">
      <w:r w:rsidRPr="005A58B7">
        <w:lastRenderedPageBreak/>
        <w:t>Der er alene tale om en sproglig ændring af lovteksten, som har til formål at give mulighed for i bemærkningerne at præcisere, at revisorer, advokater, eksterne bogholdere og skatterådgiveres ret til at fraråde klienter at udøve ulovlig virksomhed alene vedrører den konkrete rådgivningssituation, samt at klienten ikke må oplyses om tidligere eller eventuelle fremtidige undersøgelser og underretninger</w:t>
      </w:r>
      <w:r>
        <w:t xml:space="preserve">. </w:t>
      </w:r>
    </w:p>
    <w:p w14:paraId="7DE26B2C" w14:textId="77777777" w:rsidR="00A45560" w:rsidRDefault="00A45560" w:rsidP="00A45560"/>
    <w:p w14:paraId="72366C18" w14:textId="77777777" w:rsidR="00A45560" w:rsidRPr="00E15696" w:rsidRDefault="00A45560" w:rsidP="00A45560">
      <w:pPr>
        <w:pStyle w:val="Underoverskrift"/>
        <w:numPr>
          <w:ilvl w:val="1"/>
          <w:numId w:val="6"/>
        </w:numPr>
      </w:pPr>
      <w:r>
        <w:t>§ 2 i lov nr. 480 af 12. maj 2023</w:t>
      </w:r>
    </w:p>
    <w:p w14:paraId="2CDDD153" w14:textId="77777777" w:rsidR="00A45560" w:rsidRDefault="00A45560" w:rsidP="00A45560"/>
    <w:p w14:paraId="54B439B0" w14:textId="77777777" w:rsidR="00A45560" w:rsidRDefault="00A45560" w:rsidP="00A45560">
      <w:r>
        <w:t xml:space="preserve">Med lovændringen omfattes </w:t>
      </w:r>
      <w:r w:rsidRPr="00E52AB2">
        <w:t>udbydere af finansielle tjenester relateret til udstedelse af virtuelle valutaer af hvidvaskloven</w:t>
      </w:r>
      <w:r>
        <w:t xml:space="preserve">, og konsekvensændringer i den henseende. </w:t>
      </w:r>
    </w:p>
    <w:p w14:paraId="2115FB4B" w14:textId="77777777" w:rsidR="00A45560" w:rsidRDefault="00A45560" w:rsidP="00A45560"/>
    <w:p w14:paraId="6356245E" w14:textId="77777777" w:rsidR="00A45560" w:rsidRDefault="00A45560" w:rsidP="00A45560">
      <w:r>
        <w:t>U</w:t>
      </w:r>
      <w:r w:rsidRPr="00E52AB2">
        <w:t xml:space="preserve">dbydere af finansielle tjenester, relateret til en udsteders udbud og/eller salg af virtuelle valutaer, skal </w:t>
      </w:r>
      <w:r>
        <w:t xml:space="preserve">dermed </w:t>
      </w:r>
      <w:r w:rsidRPr="00E52AB2">
        <w:t>overholde hvidvasklovens regler om kundekendskabsprocedurer, overvågning af kundeforhold, undersøgelse af transaktioner m.v. og underretning af Hvidvasksekretariatet</w:t>
      </w:r>
      <w:r>
        <w:t xml:space="preserve">. </w:t>
      </w:r>
    </w:p>
    <w:p w14:paraId="7ABE05DB" w14:textId="77777777" w:rsidR="00A45560" w:rsidRDefault="00A45560" w:rsidP="00A45560"/>
    <w:p w14:paraId="66F3AF59" w14:textId="7BAD7670" w:rsidR="00A45560" w:rsidRDefault="00A45560" w:rsidP="00A45560">
      <w:r>
        <w:t xml:space="preserve">Herudover indeholder lovændringen en udvidelse af definitionen på politisk eksponerede personer (PEP), </w:t>
      </w:r>
      <w:proofErr w:type="gramStart"/>
      <w:r>
        <w:t>således at</w:t>
      </w:r>
      <w:proofErr w:type="gramEnd"/>
      <w:r>
        <w:t xml:space="preserve"> ministres særlige rådgivere</w:t>
      </w:r>
      <w:r w:rsidR="00B449A4">
        <w:t xml:space="preserve"> og vicelagmanden</w:t>
      </w:r>
      <w:r>
        <w:t xml:space="preserve"> også omfattes af definitionen. Det betyder, at ministres særlige rådgivere </w:t>
      </w:r>
      <w:r w:rsidR="00B449A4">
        <w:t xml:space="preserve">og vicelagmanden </w:t>
      </w:r>
      <w:r>
        <w:t xml:space="preserve">fremadrettet skal optages på Finanstilsynets liste over politisk eksponerede personer. </w:t>
      </w:r>
    </w:p>
    <w:p w14:paraId="2D9ACEDC" w14:textId="77777777" w:rsidR="00A45560" w:rsidRDefault="00A45560" w:rsidP="00A45560"/>
    <w:p w14:paraId="26FEAC7C" w14:textId="77777777" w:rsidR="00A45560" w:rsidRDefault="00A45560" w:rsidP="00A45560">
      <w:r>
        <w:t xml:space="preserve">Herudover indeholder lovændringen en </w:t>
      </w:r>
      <w:r w:rsidRPr="00864A38">
        <w:t xml:space="preserve">sproglig ændring af </w:t>
      </w:r>
      <w:r>
        <w:t>§ 38, stk. 6. Ændringen</w:t>
      </w:r>
      <w:r w:rsidRPr="00864A38">
        <w:t xml:space="preserve"> har til formål at give mulighed for i bemærkningerne at præcisere anvendelsesområdet for § 38, stk. 6, nr. 1</w:t>
      </w:r>
      <w:r>
        <w:t xml:space="preserve"> og </w:t>
      </w:r>
      <w:r w:rsidRPr="00B644D7">
        <w:t>§ 55, stk. 1, 1. pkt</w:t>
      </w:r>
      <w:r>
        <w:t>.</w:t>
      </w:r>
      <w:r w:rsidRPr="00864A38">
        <w:t xml:space="preserve">, </w:t>
      </w:r>
      <w:r w:rsidRPr="00B644D7">
        <w:t>Der er ikke tilsigtet ændringer af den gældende retstilstand</w:t>
      </w:r>
      <w:r>
        <w:t>.</w:t>
      </w:r>
    </w:p>
    <w:p w14:paraId="132BCD5E" w14:textId="77777777" w:rsidR="00A45560" w:rsidRDefault="00A45560" w:rsidP="00A45560"/>
    <w:p w14:paraId="12724B18" w14:textId="77777777" w:rsidR="00A45560" w:rsidRDefault="00A45560" w:rsidP="00A45560">
      <w:r>
        <w:t>Afsluttende medfører lovændringen, at Finanstilsynet vil kunne</w:t>
      </w:r>
      <w:r w:rsidRPr="00B644D7">
        <w:t xml:space="preserve"> udstede administrative bødeforelæg for overtrædelse hvidvasklovens § 48, stk. 2</w:t>
      </w:r>
      <w:r>
        <w:t>.</w:t>
      </w:r>
    </w:p>
    <w:p w14:paraId="48652635" w14:textId="77777777" w:rsidR="00331EDD" w:rsidRDefault="00331EDD">
      <w:pPr>
        <w:pStyle w:val="Brdtekst"/>
      </w:pPr>
      <w:bookmarkStart w:id="10" w:name="PCAStart"/>
      <w:bookmarkEnd w:id="10"/>
    </w:p>
    <w:sectPr w:rsidR="00331EDD" w:rsidSect="002779D0">
      <w:headerReference w:type="default" r:id="rId8"/>
      <w:headerReference w:type="first" r:id="rId9"/>
      <w:footerReference w:type="first" r:id="rId10"/>
      <w:pgSz w:w="11906" w:h="16838" w:code="9"/>
      <w:pgMar w:top="2325" w:right="3686" w:bottom="1418" w:left="1106" w:header="624" w:footer="567" w:gutter="0"/>
      <w:paperSrc w:first="11" w:other="1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04B8" w14:textId="77777777" w:rsidR="00465AF1" w:rsidRDefault="00465AF1">
      <w:pPr>
        <w:spacing w:line="240" w:lineRule="auto"/>
      </w:pPr>
      <w:r>
        <w:separator/>
      </w:r>
    </w:p>
  </w:endnote>
  <w:endnote w:type="continuationSeparator" w:id="0">
    <w:p w14:paraId="1391F717" w14:textId="77777777" w:rsidR="00465AF1" w:rsidRDefault="00465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ABFF" w14:textId="77777777" w:rsidR="002F13A8" w:rsidRPr="00BF501F" w:rsidRDefault="00C12726">
    <w:pPr>
      <w:pStyle w:val="Sidefod"/>
      <w:rPr>
        <w:sz w:val="20"/>
      </w:rPr>
    </w:pPr>
    <w:r w:rsidRPr="00BF501F">
      <w:rPr>
        <w:sz w:val="20"/>
      </w:rPr>
      <w:fldChar w:fldCharType="begin"/>
    </w:r>
    <w:r w:rsidR="002F13A8" w:rsidRPr="00BF501F">
      <w:rPr>
        <w:sz w:val="20"/>
      </w:rPr>
      <w:instrText xml:space="preserve"> FILENAME \p </w:instrText>
    </w:r>
    <w:r w:rsidRPr="00BF501F">
      <w:rPr>
        <w:sz w:val="20"/>
      </w:rPr>
      <w:fldChar w:fldCharType="separate"/>
    </w:r>
    <w:r w:rsidR="00A45560">
      <w:rPr>
        <w:noProof/>
        <w:sz w:val="20"/>
      </w:rPr>
      <w:t>Dokument4</w:t>
    </w:r>
    <w:r w:rsidRPr="00BF501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6C8A" w14:textId="77777777" w:rsidR="00465AF1" w:rsidRDefault="00465AF1">
      <w:pPr>
        <w:spacing w:line="240" w:lineRule="auto"/>
      </w:pPr>
      <w:r>
        <w:separator/>
      </w:r>
    </w:p>
  </w:footnote>
  <w:footnote w:type="continuationSeparator" w:id="0">
    <w:p w14:paraId="1204181D" w14:textId="77777777" w:rsidR="00465AF1" w:rsidRDefault="00465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5F93" w14:textId="77777777" w:rsidR="00163A8D" w:rsidRDefault="00C12726">
    <w:pPr>
      <w:framePr w:w="1531" w:h="851" w:wrap="around" w:vAnchor="page" w:hAnchor="page" w:x="9186" w:y="721"/>
    </w:pPr>
    <w:r>
      <w:rPr>
        <w:rStyle w:val="Sidetal"/>
      </w:rPr>
      <w:fldChar w:fldCharType="begin"/>
    </w:r>
    <w:r w:rsidR="00163A8D">
      <w:rPr>
        <w:rStyle w:val="Sidetal"/>
      </w:rPr>
      <w:instrText xml:space="preserve"> PAGE </w:instrText>
    </w:r>
    <w:r>
      <w:rPr>
        <w:rStyle w:val="Sidetal"/>
      </w:rPr>
      <w:fldChar w:fldCharType="separate"/>
    </w:r>
    <w:r w:rsidR="00163A8D">
      <w:rPr>
        <w:rStyle w:val="Sidetal"/>
        <w:noProof/>
      </w:rPr>
      <w:t>2</w:t>
    </w:r>
    <w:r>
      <w:rPr>
        <w:rStyle w:val="Sidetal"/>
      </w:rPr>
      <w:fldChar w:fldCharType="end"/>
    </w:r>
    <w:r w:rsidR="00163A8D">
      <w:rPr>
        <w:rStyle w:val="Sidetal"/>
      </w:rPr>
      <w:t>/</w:t>
    </w:r>
    <w:r>
      <w:rPr>
        <w:rStyle w:val="Sidetal"/>
      </w:rPr>
      <w:fldChar w:fldCharType="begin"/>
    </w:r>
    <w:r w:rsidR="00163A8D">
      <w:rPr>
        <w:rStyle w:val="Sidetal"/>
      </w:rPr>
      <w:instrText xml:space="preserve"> NUMPAGES </w:instrText>
    </w:r>
    <w:r>
      <w:rPr>
        <w:rStyle w:val="Sidetal"/>
      </w:rPr>
      <w:fldChar w:fldCharType="separate"/>
    </w:r>
    <w:r w:rsidR="00B23B9D">
      <w:rPr>
        <w:rStyle w:val="Sidetal"/>
        <w:noProof/>
      </w:rPr>
      <w:t>1</w:t>
    </w:r>
    <w:r>
      <w:rPr>
        <w:rStyle w:val="Sidetal"/>
      </w:rPr>
      <w:fldChar w:fldCharType="end"/>
    </w:r>
  </w:p>
  <w:p w14:paraId="0B914CCB" w14:textId="77777777" w:rsidR="00163A8D" w:rsidRDefault="00163A8D">
    <w:pPr>
      <w:framePr w:w="1531" w:h="851" w:wrap="around" w:vAnchor="page" w:hAnchor="page" w:x="9186" w:y="721"/>
    </w:pPr>
  </w:p>
  <w:p w14:paraId="603BB8AC" w14:textId="77777777" w:rsidR="00163A8D" w:rsidRDefault="00163A8D">
    <w:pPr>
      <w:framePr w:w="1531" w:h="851" w:wrap="around" w:vAnchor="page" w:hAnchor="page" w:x="9186" w:y="721"/>
    </w:pPr>
  </w:p>
  <w:p w14:paraId="6E288FC6" w14:textId="77777777" w:rsidR="00163A8D" w:rsidRDefault="00163A8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4E4" w14:textId="77777777" w:rsidR="00163A8D" w:rsidRDefault="00CD5C1F">
    <w:pPr>
      <w:pStyle w:val="Sidehoved"/>
    </w:pPr>
    <w:r>
      <w:rPr>
        <w:noProof/>
      </w:rPr>
      <w:drawing>
        <wp:anchor distT="0" distB="0" distL="114300" distR="114300" simplePos="0" relativeHeight="251658752" behindDoc="0" locked="0" layoutInCell="1" allowOverlap="1" wp14:anchorId="6A0CF988" wp14:editId="0ECDBE1C">
          <wp:simplePos x="0" y="0"/>
          <wp:positionH relativeFrom="page">
            <wp:posOffset>2952750</wp:posOffset>
          </wp:positionH>
          <wp:positionV relativeFrom="page">
            <wp:posOffset>142875</wp:posOffset>
          </wp:positionV>
          <wp:extent cx="1600200" cy="504825"/>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200" cy="504825"/>
                  </a:xfrm>
                  <a:prstGeom prst="rect">
                    <a:avLst/>
                  </a:prstGeom>
                </pic:spPr>
              </pic:pic>
            </a:graphicData>
          </a:graphic>
        </wp:anchor>
      </w:drawing>
    </w:r>
    <w:r w:rsidR="003E4349">
      <w:rPr>
        <w:noProof/>
      </w:rPr>
      <w:drawing>
        <wp:anchor distT="0" distB="0" distL="114300" distR="114300" simplePos="0" relativeHeight="251657728" behindDoc="0" locked="1" layoutInCell="0" allowOverlap="1" wp14:anchorId="0602FAA3" wp14:editId="3B55F71D">
          <wp:simplePos x="0" y="0"/>
          <wp:positionH relativeFrom="margin">
            <wp:posOffset>-9525</wp:posOffset>
          </wp:positionH>
          <wp:positionV relativeFrom="page">
            <wp:posOffset>1503045</wp:posOffset>
          </wp:positionV>
          <wp:extent cx="638175" cy="114300"/>
          <wp:effectExtent l="19050" t="0" r="9525"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38175"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C9E"/>
    <w:multiLevelType w:val="multilevel"/>
    <w:tmpl w:val="B4443E96"/>
    <w:lvl w:ilvl="0">
      <w:start w:val="1"/>
      <w:numFmt w:val="decimal"/>
      <w:pStyle w:val="Underoverskrif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1A7C45"/>
    <w:multiLevelType w:val="hybridMultilevel"/>
    <w:tmpl w:val="C2E0B336"/>
    <w:lvl w:ilvl="0" w:tplc="21C023FC">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3C7D2F"/>
    <w:multiLevelType w:val="hybridMultilevel"/>
    <w:tmpl w:val="7B14156E"/>
    <w:lvl w:ilvl="0" w:tplc="91284876">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E2C0E20"/>
    <w:multiLevelType w:val="hybridMultilevel"/>
    <w:tmpl w:val="DE68F320"/>
    <w:lvl w:ilvl="0" w:tplc="A1ACD74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4B287A84"/>
    <w:multiLevelType w:val="hybridMultilevel"/>
    <w:tmpl w:val="BBB49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3E53794"/>
    <w:multiLevelType w:val="hybridMultilevel"/>
    <w:tmpl w:val="308E1D24"/>
    <w:lvl w:ilvl="0" w:tplc="3E0CC88A">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num w:numId="1" w16cid:durableId="454981024">
    <w:abstractNumId w:val="6"/>
  </w:num>
  <w:num w:numId="2" w16cid:durableId="1561289315">
    <w:abstractNumId w:val="4"/>
  </w:num>
  <w:num w:numId="3" w16cid:durableId="1242791226">
    <w:abstractNumId w:val="2"/>
  </w:num>
  <w:num w:numId="4" w16cid:durableId="587665113">
    <w:abstractNumId w:val="3"/>
  </w:num>
  <w:num w:numId="5" w16cid:durableId="1460339447">
    <w:abstractNumId w:val="5"/>
  </w:num>
  <w:num w:numId="6" w16cid:durableId="508373128">
    <w:abstractNumId w:val="0"/>
  </w:num>
  <w:num w:numId="7" w16cid:durableId="925042981">
    <w:abstractNumId w:val="1"/>
  </w:num>
  <w:num w:numId="8" w16cid:durableId="201807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Initialer" w:val="Empty"/>
    <w:docVar w:name="Kontor" w:val="Empty"/>
    <w:docVar w:name="PCAdato" w:val="Empty"/>
    <w:docVar w:name="PCAmodtager" w:val="Empty"/>
    <w:docVar w:name="PCAoverskrift" w:val="Empty"/>
    <w:docVar w:name="PCASag" w:val="Empty"/>
    <w:docVar w:name="PCAStart" w:val="Empty"/>
  </w:docVars>
  <w:rsids>
    <w:rsidRoot w:val="00A45560"/>
    <w:rsid w:val="0002744C"/>
    <w:rsid w:val="00067512"/>
    <w:rsid w:val="000A3975"/>
    <w:rsid w:val="000C0183"/>
    <w:rsid w:val="000C13A3"/>
    <w:rsid w:val="00120388"/>
    <w:rsid w:val="00163A8D"/>
    <w:rsid w:val="001E4A6B"/>
    <w:rsid w:val="00230D73"/>
    <w:rsid w:val="00260676"/>
    <w:rsid w:val="002779D0"/>
    <w:rsid w:val="002A499B"/>
    <w:rsid w:val="002E6F9A"/>
    <w:rsid w:val="002F13A8"/>
    <w:rsid w:val="00305117"/>
    <w:rsid w:val="00331EDD"/>
    <w:rsid w:val="00357188"/>
    <w:rsid w:val="003D4260"/>
    <w:rsid w:val="003E3B9B"/>
    <w:rsid w:val="003E4349"/>
    <w:rsid w:val="0044286B"/>
    <w:rsid w:val="00465AF1"/>
    <w:rsid w:val="00480CFA"/>
    <w:rsid w:val="005439BC"/>
    <w:rsid w:val="00547C62"/>
    <w:rsid w:val="00586C74"/>
    <w:rsid w:val="005A66A7"/>
    <w:rsid w:val="005F6A41"/>
    <w:rsid w:val="0063728A"/>
    <w:rsid w:val="006724DD"/>
    <w:rsid w:val="006C3314"/>
    <w:rsid w:val="006C7261"/>
    <w:rsid w:val="006F510B"/>
    <w:rsid w:val="00700253"/>
    <w:rsid w:val="00703E18"/>
    <w:rsid w:val="00791EC8"/>
    <w:rsid w:val="007A608C"/>
    <w:rsid w:val="007E5F37"/>
    <w:rsid w:val="00904F2B"/>
    <w:rsid w:val="00907B69"/>
    <w:rsid w:val="00911391"/>
    <w:rsid w:val="00920A2D"/>
    <w:rsid w:val="009A42AD"/>
    <w:rsid w:val="009C70F7"/>
    <w:rsid w:val="00A30B33"/>
    <w:rsid w:val="00A45560"/>
    <w:rsid w:val="00A7303D"/>
    <w:rsid w:val="00AA185B"/>
    <w:rsid w:val="00AB2574"/>
    <w:rsid w:val="00B23B9D"/>
    <w:rsid w:val="00B449A4"/>
    <w:rsid w:val="00B57A46"/>
    <w:rsid w:val="00BA09F2"/>
    <w:rsid w:val="00BA2345"/>
    <w:rsid w:val="00BF478D"/>
    <w:rsid w:val="00BF501F"/>
    <w:rsid w:val="00C12726"/>
    <w:rsid w:val="00C1535F"/>
    <w:rsid w:val="00C5465E"/>
    <w:rsid w:val="00C600DC"/>
    <w:rsid w:val="00CD5C1F"/>
    <w:rsid w:val="00CF4780"/>
    <w:rsid w:val="00DB1666"/>
    <w:rsid w:val="00E2456A"/>
    <w:rsid w:val="00E34E1B"/>
    <w:rsid w:val="00E44B59"/>
    <w:rsid w:val="00EC3FFA"/>
    <w:rsid w:val="00EC7075"/>
    <w:rsid w:val="00F924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62E65"/>
  <w15:docId w15:val="{875575B3-6E73-402E-B406-BAD0A6EB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6A"/>
    <w:pPr>
      <w:spacing w:line="280" w:lineRule="exact"/>
      <w:jc w:val="both"/>
    </w:pPr>
    <w:rPr>
      <w:rFonts w:ascii="Arial" w:hAnsi="Arial"/>
      <w:sz w:val="21"/>
    </w:rPr>
  </w:style>
  <w:style w:type="paragraph" w:styleId="Overskrift1">
    <w:name w:val="heading 1"/>
    <w:basedOn w:val="Normal"/>
    <w:next w:val="Brdtekst"/>
    <w:qFormat/>
    <w:rsid w:val="00907B69"/>
    <w:pPr>
      <w:keepNext/>
      <w:spacing w:line="480" w:lineRule="exact"/>
      <w:outlineLvl w:val="0"/>
    </w:pPr>
    <w:rPr>
      <w:rFonts w:ascii="Constantia" w:hAnsi="Constantia"/>
      <w:b/>
      <w:color w:val="990000"/>
      <w:sz w:val="32"/>
    </w:rPr>
  </w:style>
  <w:style w:type="paragraph" w:styleId="Overskrift2">
    <w:name w:val="heading 2"/>
    <w:basedOn w:val="Normal"/>
    <w:next w:val="Normal"/>
    <w:link w:val="Overskrift2Tegn"/>
    <w:qFormat/>
    <w:rsid w:val="00586C74"/>
    <w:pPr>
      <w:keepNext/>
      <w:keepLines/>
      <w:spacing w:before="280" w:after="140"/>
      <w:outlineLvl w:val="1"/>
    </w:pPr>
    <w:rPr>
      <w:rFonts w:ascii="Constantia" w:eastAsiaTheme="majorEastAsia" w:hAnsi="Constant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E44B59"/>
    <w:pPr>
      <w:framePr w:w="2268" w:h="7370" w:hSpace="141" w:wrap="around" w:hAnchor="page" w:x="9270" w:anchorLock="1"/>
    </w:pPr>
    <w:rPr>
      <w:sz w:val="15"/>
    </w:rPr>
  </w:style>
  <w:style w:type="paragraph" w:customStyle="1" w:styleId="diverse">
    <w:name w:val="diverse"/>
    <w:basedOn w:val="Normal"/>
    <w:rsid w:val="00E44B59"/>
    <w:rPr>
      <w:sz w:val="18"/>
    </w:rPr>
  </w:style>
  <w:style w:type="character" w:styleId="Sidetal">
    <w:name w:val="page number"/>
    <w:basedOn w:val="Standardskrifttypeiafsnit"/>
    <w:rsid w:val="00E44B59"/>
  </w:style>
  <w:style w:type="paragraph" w:customStyle="1" w:styleId="datomv">
    <w:name w:val="datomv"/>
    <w:basedOn w:val="skakt"/>
    <w:rsid w:val="00E44B59"/>
    <w:pPr>
      <w:framePr w:w="0" w:hRule="auto" w:hSpace="142" w:wrap="around" w:vAnchor="text" w:hAnchor="text" w:x="9073" w:y="1"/>
    </w:pPr>
    <w:rPr>
      <w:rFonts w:ascii="Times New Roman" w:hAnsi="Times New Roman"/>
      <w:sz w:val="24"/>
    </w:rPr>
  </w:style>
  <w:style w:type="paragraph" w:styleId="Sidehoved">
    <w:name w:val="header"/>
    <w:basedOn w:val="Normal"/>
    <w:rsid w:val="00E44B59"/>
    <w:pPr>
      <w:tabs>
        <w:tab w:val="center" w:pos="4819"/>
        <w:tab w:val="right" w:pos="9638"/>
      </w:tabs>
    </w:pPr>
  </w:style>
  <w:style w:type="paragraph" w:customStyle="1" w:styleId="modt">
    <w:name w:val="modt"/>
    <w:basedOn w:val="Normal"/>
    <w:rsid w:val="00E44B59"/>
  </w:style>
  <w:style w:type="paragraph" w:styleId="Sidefod">
    <w:name w:val="footer"/>
    <w:basedOn w:val="Normal"/>
    <w:rsid w:val="00331EDD"/>
    <w:pPr>
      <w:tabs>
        <w:tab w:val="center" w:pos="4819"/>
        <w:tab w:val="right" w:pos="9638"/>
      </w:tabs>
      <w:spacing w:line="240" w:lineRule="auto"/>
    </w:pPr>
    <w:rPr>
      <w:sz w:val="16"/>
    </w:rPr>
  </w:style>
  <w:style w:type="paragraph" w:customStyle="1" w:styleId="Enhed">
    <w:name w:val="Enhed"/>
    <w:basedOn w:val="Normal"/>
    <w:rsid w:val="00E44B59"/>
    <w:pPr>
      <w:framePr w:h="454" w:hRule="exact" w:wrap="around" w:vAnchor="page" w:hAnchor="page" w:x="9186" w:y="1702"/>
    </w:pPr>
    <w:rPr>
      <w:b/>
      <w:caps/>
      <w:sz w:val="15"/>
    </w:rPr>
  </w:style>
  <w:style w:type="paragraph" w:styleId="Brdtekst">
    <w:name w:val="Body Text"/>
    <w:basedOn w:val="Normal"/>
    <w:rsid w:val="00CF4780"/>
  </w:style>
  <w:style w:type="paragraph" w:styleId="Markeringsbobletekst">
    <w:name w:val="Balloon Text"/>
    <w:basedOn w:val="Normal"/>
    <w:link w:val="MarkeringsbobletekstTegn"/>
    <w:uiPriority w:val="99"/>
    <w:semiHidden/>
    <w:unhideWhenUsed/>
    <w:rsid w:val="00CD5C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5C1F"/>
    <w:rPr>
      <w:rFonts w:ascii="Tahoma" w:hAnsi="Tahoma" w:cs="Tahoma"/>
      <w:sz w:val="16"/>
      <w:szCs w:val="16"/>
    </w:rPr>
  </w:style>
  <w:style w:type="character" w:customStyle="1" w:styleId="Overskrift2Tegn">
    <w:name w:val="Overskrift 2 Tegn"/>
    <w:basedOn w:val="Standardskrifttypeiafsnit"/>
    <w:link w:val="Overskrift2"/>
    <w:rsid w:val="00586C74"/>
    <w:rPr>
      <w:rFonts w:ascii="Constantia" w:eastAsiaTheme="majorEastAsia" w:hAnsi="Constantia" w:cstheme="majorBidi"/>
      <w:b/>
      <w:bCs/>
      <w:color w:val="000000" w:themeColor="text1"/>
      <w:sz w:val="22"/>
      <w:szCs w:val="26"/>
    </w:rPr>
  </w:style>
  <w:style w:type="paragraph" w:styleId="Listeafsnit">
    <w:name w:val="List Paragraph"/>
    <w:basedOn w:val="Normal"/>
    <w:uiPriority w:val="1"/>
    <w:qFormat/>
    <w:rsid w:val="00586C74"/>
    <w:pPr>
      <w:numPr>
        <w:numId w:val="3"/>
      </w:numPr>
      <w:ind w:left="426" w:hanging="426"/>
      <w:contextualSpacing/>
    </w:pPr>
  </w:style>
  <w:style w:type="paragraph" w:customStyle="1" w:styleId="Underoverskrift">
    <w:name w:val="Underoverskrift"/>
    <w:basedOn w:val="Overskrift2"/>
    <w:next w:val="Normal"/>
    <w:qFormat/>
    <w:rsid w:val="00586C74"/>
    <w:pPr>
      <w:numPr>
        <w:numId w:val="6"/>
      </w:numPr>
    </w:pPr>
  </w:style>
  <w:style w:type="paragraph" w:customStyle="1" w:styleId="ListeTal">
    <w:name w:val="ListeTal"/>
    <w:basedOn w:val="Listeafsnit"/>
    <w:uiPriority w:val="1"/>
    <w:qFormat/>
    <w:rsid w:val="00586C74"/>
    <w:pPr>
      <w:numPr>
        <w:numId w:val="5"/>
      </w:numPr>
      <w:ind w:left="426" w:hanging="426"/>
    </w:pPr>
  </w:style>
  <w:style w:type="paragraph" w:customStyle="1" w:styleId="ListeBogstaver">
    <w:name w:val="ListeBogstaver"/>
    <w:basedOn w:val="Listeafsnit"/>
    <w:uiPriority w:val="1"/>
    <w:qFormat/>
    <w:rsid w:val="00586C74"/>
    <w:pPr>
      <w:numPr>
        <w:numId w:val="4"/>
      </w:numPr>
      <w:ind w:left="426" w:hanging="426"/>
    </w:pPr>
  </w:style>
  <w:style w:type="paragraph" w:styleId="Fodnotetekst">
    <w:name w:val="footnote text"/>
    <w:basedOn w:val="Normal"/>
    <w:link w:val="FodnotetekstTegn"/>
    <w:uiPriority w:val="2"/>
    <w:qFormat/>
    <w:rsid w:val="00E2456A"/>
    <w:pPr>
      <w:spacing w:line="360" w:lineRule="auto"/>
    </w:pPr>
    <w:rPr>
      <w:sz w:val="16"/>
    </w:rPr>
  </w:style>
  <w:style w:type="character" w:customStyle="1" w:styleId="FodnotetekstTegn">
    <w:name w:val="Fodnotetekst Tegn"/>
    <w:basedOn w:val="Standardskrifttypeiafsnit"/>
    <w:link w:val="Fodnotetekst"/>
    <w:uiPriority w:val="2"/>
    <w:rsid w:val="00E2456A"/>
    <w:rPr>
      <w:rFonts w:ascii="Arial" w:hAnsi="Arial"/>
      <w:sz w:val="16"/>
    </w:rPr>
  </w:style>
  <w:style w:type="character" w:styleId="Fodnotehenvisning">
    <w:name w:val="footnote reference"/>
    <w:basedOn w:val="Standardskrifttypeiafsnit"/>
    <w:uiPriority w:val="99"/>
    <w:semiHidden/>
    <w:unhideWhenUsed/>
    <w:rsid w:val="00E2456A"/>
    <w:rPr>
      <w:vertAlign w:val="superscript"/>
    </w:rPr>
  </w:style>
  <w:style w:type="character" w:styleId="Kommentarhenvisning">
    <w:name w:val="annotation reference"/>
    <w:basedOn w:val="Standardskrifttypeiafsnit"/>
    <w:uiPriority w:val="99"/>
    <w:semiHidden/>
    <w:unhideWhenUsed/>
    <w:rsid w:val="00A7303D"/>
    <w:rPr>
      <w:sz w:val="16"/>
      <w:szCs w:val="16"/>
    </w:rPr>
  </w:style>
  <w:style w:type="paragraph" w:styleId="Kommentartekst">
    <w:name w:val="annotation text"/>
    <w:basedOn w:val="Normal"/>
    <w:link w:val="KommentartekstTegn"/>
    <w:uiPriority w:val="99"/>
    <w:unhideWhenUsed/>
    <w:rsid w:val="00A7303D"/>
    <w:pPr>
      <w:spacing w:line="240" w:lineRule="auto"/>
    </w:pPr>
    <w:rPr>
      <w:sz w:val="20"/>
    </w:rPr>
  </w:style>
  <w:style w:type="character" w:customStyle="1" w:styleId="KommentartekstTegn">
    <w:name w:val="Kommentartekst Tegn"/>
    <w:basedOn w:val="Standardskrifttypeiafsnit"/>
    <w:link w:val="Kommentartekst"/>
    <w:uiPriority w:val="99"/>
    <w:rsid w:val="00A7303D"/>
    <w:rPr>
      <w:rFonts w:ascii="Arial" w:hAnsi="Arial"/>
    </w:rPr>
  </w:style>
  <w:style w:type="paragraph" w:styleId="Kommentaremne">
    <w:name w:val="annotation subject"/>
    <w:basedOn w:val="Kommentartekst"/>
    <w:next w:val="Kommentartekst"/>
    <w:link w:val="KommentaremneTegn"/>
    <w:uiPriority w:val="99"/>
    <w:semiHidden/>
    <w:unhideWhenUsed/>
    <w:rsid w:val="00A7303D"/>
    <w:rPr>
      <w:b/>
      <w:bCs/>
    </w:rPr>
  </w:style>
  <w:style w:type="character" w:customStyle="1" w:styleId="KommentaremneTegn">
    <w:name w:val="Kommentaremne Tegn"/>
    <w:basedOn w:val="KommentartekstTegn"/>
    <w:link w:val="Kommentaremne"/>
    <w:uiPriority w:val="99"/>
    <w:semiHidden/>
    <w:rsid w:val="00A730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Notat.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EA07-F61D-4863-910C-1D41F98D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52</TotalTime>
  <Pages>4</Pages>
  <Words>997</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Kirsten Marie Fog Pedersen (FT)</dc:creator>
  <cp:keywords/>
  <cp:lastModifiedBy>Johannes Pauli Poulsen</cp:lastModifiedBy>
  <cp:revision>13</cp:revision>
  <cp:lastPrinted>2002-07-26T09:51:00Z</cp:lastPrinted>
  <dcterms:created xsi:type="dcterms:W3CDTF">2023-10-20T08:49:00Z</dcterms:created>
  <dcterms:modified xsi:type="dcterms:W3CDTF">2023-12-20T09:05:00Z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DocNumber">
    <vt:i4>0</vt:i4>
  </property>
  <property fmtid="{D5CDD505-2E9C-101B-9397-08002B2CF9AE}" pid="4" name="AdrCode">
    <vt:lpwstr/>
  </property>
  <property fmtid="{D5CDD505-2E9C-101B-9397-08002B2CF9AE}" pid="5" name="Modtager">
    <vt:lpwstr/>
  </property>
  <property fmtid="{D5CDD505-2E9C-101B-9397-08002B2CF9AE}" pid="6" name="PDokDato">
    <vt:lpwstr>20. oktober 2023</vt:lpwstr>
  </property>
  <property fmtid="{D5CDD505-2E9C-101B-9397-08002B2CF9AE}" pid="7" name="PJournalNr">
    <vt:lpwstr/>
  </property>
  <property fmtid="{D5CDD505-2E9C-101B-9397-08002B2CF9AE}" pid="8" name="PEmne">
    <vt:lpwstr>Resumé</vt:lpwstr>
  </property>
  <property fmtid="{D5CDD505-2E9C-101B-9397-08002B2CF9AE}" pid="9" name="PATitle">
    <vt:lpwstr/>
  </property>
  <property fmtid="{D5CDD505-2E9C-101B-9397-08002B2CF9AE}" pid="10" name="PATlf">
    <vt:lpwstr/>
  </property>
  <property fmtid="{D5CDD505-2E9C-101B-9397-08002B2CF9AE}" pid="11" name="PAEmail">
    <vt:lpwstr/>
  </property>
  <property fmtid="{D5CDD505-2E9C-101B-9397-08002B2CF9AE}" pid="12" name="ModtRef">
    <vt:lpwstr/>
  </property>
  <property fmtid="{D5CDD505-2E9C-101B-9397-08002B2CF9AE}" pid="13" name="Initialer">
    <vt:lpwstr>KIPE</vt:lpwstr>
  </property>
  <property fmtid="{D5CDD505-2E9C-101B-9397-08002B2CF9AE}" pid="14" name="Bilag">
    <vt:i4>0</vt:i4>
  </property>
  <property fmtid="{D5CDD505-2E9C-101B-9397-08002B2CF9AE}" pid="15" name="Kontor">
    <vt:lpwstr/>
  </property>
  <property fmtid="{D5CDD505-2E9C-101B-9397-08002B2CF9AE}" pid="16" name="Diverse">
    <vt:lpwstr/>
  </property>
</Properties>
</file>