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6B61" w14:textId="12983D8E" w:rsidR="00DC0DFF" w:rsidRDefault="00DC0DFF" w:rsidP="00DC0DFF">
      <w:pPr>
        <w:jc w:val="center"/>
      </w:pPr>
      <w:r>
        <w:t>Samlea</w:t>
      </w:r>
      <w:r w:rsidRPr="00841F4A">
        <w:t xml:space="preserve">nordning om ikrafttræden for </w:t>
      </w:r>
      <w:r w:rsidR="00F37F75">
        <w:t>Færøerne</w:t>
      </w:r>
      <w:r w:rsidR="00F37F75" w:rsidRPr="00841F4A">
        <w:t xml:space="preserve"> </w:t>
      </w:r>
      <w:r w:rsidRPr="00841F4A">
        <w:t>af</w:t>
      </w:r>
      <w:r>
        <w:t xml:space="preserve"> visse bestemmelser i forskellige love om ændring af </w:t>
      </w:r>
      <w:r w:rsidR="003858A4">
        <w:t xml:space="preserve">lov </w:t>
      </w:r>
      <w:r w:rsidRPr="00EE40A6">
        <w:t xml:space="preserve">om </w:t>
      </w:r>
      <w:bookmarkStart w:id="0" w:name="_Hlk142653529"/>
      <w:r w:rsidRPr="00EE40A6">
        <w:t>forebyggende foranstaltninger mod hvidvask og finansiering af terrorisme (hvidvaskloven</w:t>
      </w:r>
      <w:r>
        <w:t>)</w:t>
      </w:r>
      <w:bookmarkEnd w:id="0"/>
    </w:p>
    <w:p w14:paraId="02E5143A" w14:textId="77777777" w:rsidR="00DC0DFF" w:rsidRDefault="00DC0DFF" w:rsidP="00DC0DFF">
      <w:pPr>
        <w:jc w:val="center"/>
      </w:pPr>
    </w:p>
    <w:p w14:paraId="29459A16" w14:textId="77777777" w:rsidR="00DC0DFF" w:rsidRDefault="00DC0DFF" w:rsidP="00DC0DFF">
      <w:pPr>
        <w:jc w:val="center"/>
      </w:pPr>
      <w:r w:rsidRPr="00841F4A">
        <w:t>VI MARGRETHE DEN ANDEN, af Guds Nåde Danmarks Dronning, gør vitterligt:</w:t>
      </w:r>
    </w:p>
    <w:p w14:paraId="5188477E" w14:textId="77777777" w:rsidR="002C2015" w:rsidRDefault="002C2015" w:rsidP="00DC0DFF"/>
    <w:p w14:paraId="5A69101F" w14:textId="139F4447" w:rsidR="00DC0DFF" w:rsidRDefault="00DC0DFF" w:rsidP="00220BF4">
      <w:r w:rsidRPr="003C1918">
        <w:t xml:space="preserve">I medfør af § 13, stk. </w:t>
      </w:r>
      <w:r w:rsidR="003C1918" w:rsidRPr="003C1918">
        <w:t>2</w:t>
      </w:r>
      <w:r w:rsidRPr="003C1918">
        <w:rPr>
          <w:rStyle w:val="Fodnotehenvisning"/>
        </w:rPr>
        <w:footnoteReference w:id="1"/>
      </w:r>
      <w:r w:rsidRPr="003C1918">
        <w:t xml:space="preserve">, i lov nr. 1940 af 15. december 2020 om ændring af lov om betalinger, hvidvaskloven, lov om kapitalmarkeder og forskellige andre love, </w:t>
      </w:r>
      <w:r w:rsidR="00F32A43" w:rsidRPr="00220BF4">
        <w:t>§ 307</w:t>
      </w:r>
      <w:r w:rsidR="00F32A43" w:rsidRPr="00220BF4">
        <w:rPr>
          <w:rStyle w:val="Fodnotehenvisning"/>
        </w:rPr>
        <w:footnoteReference w:id="2"/>
      </w:r>
      <w:r w:rsidR="00F32A43" w:rsidRPr="00220BF4">
        <w:t xml:space="preserve"> i lov nr. 1155 af 8. juni 2021 om fondsmæglerselskaber og investeringsservice og -aktiv</w:t>
      </w:r>
      <w:r w:rsidR="00F32A43" w:rsidRPr="007270D8">
        <w:t>iteter,</w:t>
      </w:r>
      <w:r w:rsidR="00F32A43">
        <w:t xml:space="preserve"> </w:t>
      </w:r>
      <w:r w:rsidRPr="003C1918">
        <w:t xml:space="preserve">§ 17, stk. </w:t>
      </w:r>
      <w:r w:rsidR="003C1918" w:rsidRPr="003C1918">
        <w:t>2</w:t>
      </w:r>
      <w:r w:rsidRPr="003C1918">
        <w:rPr>
          <w:rStyle w:val="Fodnotehenvisning"/>
        </w:rPr>
        <w:footnoteReference w:id="3"/>
      </w:r>
      <w:r w:rsidRPr="003C1918">
        <w:t xml:space="preserve">, i lov nr. 1163 af 8. juni 2021 om ændring af lov om en garantifond for skadesforsikringsselskaber, lov om investeringsforeninger m.v., hvidvaskloven og forskellige andre love, </w:t>
      </w:r>
      <w:r w:rsidRPr="007270D8">
        <w:t>§</w:t>
      </w:r>
      <w:r w:rsidRPr="00220BF4">
        <w:t xml:space="preserve"> 20, stk. </w:t>
      </w:r>
      <w:r w:rsidR="00220BF4" w:rsidRPr="00220BF4">
        <w:t>3</w:t>
      </w:r>
      <w:r w:rsidRPr="00220BF4">
        <w:rPr>
          <w:rStyle w:val="Fodnotehenvisning"/>
        </w:rPr>
        <w:footnoteReference w:id="4"/>
      </w:r>
      <w:r w:rsidRPr="00220BF4">
        <w:t xml:space="preserve">, i lov nr. nr. 2382 af 14. december 2021 om ændring af lov om finansiel virksomhed, lov om kapitalmarkeder, lov om investeringsforeninger m.v. og forskellige andre love, </w:t>
      </w:r>
      <w:r w:rsidR="00220BF4">
        <w:t xml:space="preserve">§ </w:t>
      </w:r>
      <w:r w:rsidR="00344DC5">
        <w:t>24, stk. 3</w:t>
      </w:r>
      <w:r w:rsidR="00344DC5">
        <w:rPr>
          <w:rStyle w:val="Fodnotehenvisning"/>
        </w:rPr>
        <w:footnoteReference w:id="5"/>
      </w:r>
      <w:r w:rsidR="00344DC5">
        <w:t>,</w:t>
      </w:r>
      <w:r w:rsidR="00220BF4">
        <w:t xml:space="preserve"> i lov nr. 2601 af 28. december 2021 om ændring af straffeloven, retsplejeloven, hvidvaskloven og forskellige andre love, </w:t>
      </w:r>
      <w:r w:rsidRPr="00344DC5">
        <w:t>§ 10</w:t>
      </w:r>
      <w:r w:rsidRPr="00344DC5">
        <w:rPr>
          <w:rStyle w:val="Fodnotehenvisning"/>
        </w:rPr>
        <w:footnoteReference w:id="6"/>
      </w:r>
      <w:r w:rsidRPr="00344DC5">
        <w:t xml:space="preserve"> i lov nr. 409 af 31. marts 2022 om restriktioner på transaktioner med kontanter og værdipapirer i danske kroner til Rusland og Belarus, § 14, stk. </w:t>
      </w:r>
      <w:r w:rsidR="00344DC5" w:rsidRPr="00344DC5">
        <w:t>2</w:t>
      </w:r>
      <w:r w:rsidRPr="00344DC5">
        <w:rPr>
          <w:rStyle w:val="Fodnotehenvisning"/>
        </w:rPr>
        <w:footnoteReference w:id="7"/>
      </w:r>
      <w:r w:rsidRPr="00344DC5">
        <w:t xml:space="preserve">, i lov nr. 570 af 10. maj 2022 om ændring af lov om finansiel virksomhed, lov om kapitalmarkeder, lov om investeringsforeninger m.v. og flere andre love, § 11, stk. </w:t>
      </w:r>
      <w:r w:rsidR="00344DC5" w:rsidRPr="00344DC5">
        <w:t>2</w:t>
      </w:r>
      <w:r w:rsidRPr="00344DC5">
        <w:rPr>
          <w:rStyle w:val="Fodnotehenvisning"/>
        </w:rPr>
        <w:footnoteReference w:id="8"/>
      </w:r>
      <w:r w:rsidRPr="00344DC5">
        <w:t>, i lov nr. 480 af 12. maj 2023 om ændring af lov om en garantifond for skadesforsikringsselskaber, hvidvaskloven, lov om finansiel virksomhed og forskellige andre love,</w:t>
      </w:r>
      <w:r w:rsidR="001B0E21">
        <w:t xml:space="preserve"> § 85, stk. 3, jf. stk. 1</w:t>
      </w:r>
      <w:r w:rsidR="001B0E21" w:rsidRPr="00344DC5">
        <w:rPr>
          <w:rStyle w:val="Fodnotehenvisning"/>
        </w:rPr>
        <w:footnoteReference w:id="9"/>
      </w:r>
      <w:r w:rsidR="001B0E21">
        <w:t xml:space="preserve">, i lov nr. 651 af 8. juni 2017 om forebyggende foranstaltninger mod hvidvask og finansiering af terrorisme (hvidvaskloven), i </w:t>
      </w:r>
      <w:r w:rsidRPr="00344DC5">
        <w:t xml:space="preserve"> bestemmes:</w:t>
      </w:r>
    </w:p>
    <w:p w14:paraId="051376EF" w14:textId="77777777" w:rsidR="00DC0DFF" w:rsidRDefault="00DC0DFF" w:rsidP="00DC0DFF"/>
    <w:p w14:paraId="2E8B7BC0" w14:textId="77777777" w:rsidR="007050BA" w:rsidRPr="00745E9E" w:rsidRDefault="007050BA" w:rsidP="007050BA">
      <w:pPr>
        <w:jc w:val="center"/>
        <w:rPr>
          <w:b/>
          <w:bCs/>
        </w:rPr>
      </w:pPr>
      <w:r w:rsidRPr="00745E9E">
        <w:rPr>
          <w:b/>
          <w:bCs/>
        </w:rPr>
        <w:t>§ 1</w:t>
      </w:r>
    </w:p>
    <w:p w14:paraId="38173317" w14:textId="4F3B5BE6" w:rsidR="007050BA" w:rsidRDefault="007050BA" w:rsidP="007050BA">
      <w:r>
        <w:t xml:space="preserve">I lov om </w:t>
      </w:r>
      <w:r w:rsidRPr="00EE40A6">
        <w:t>forebyggende foranstaltninger mod hvidvask og finansiering af terrorisme (hvidvaskloven</w:t>
      </w:r>
      <w:r>
        <w:t>), som sat i kraft for Færøerne ved kongelig anordning nr. 813 af 12. august 2019, som ændret ved anordning nr. 922 af 26. juni 2023, foretages de ændringer, som følger af §§ 2</w:t>
      </w:r>
      <w:r w:rsidRPr="00FB7AD7">
        <w:t>-</w:t>
      </w:r>
      <w:r w:rsidR="00FD79D0">
        <w:t>11</w:t>
      </w:r>
      <w:r>
        <w:t>.</w:t>
      </w:r>
    </w:p>
    <w:p w14:paraId="627B4824" w14:textId="77777777" w:rsidR="007050BA" w:rsidRDefault="007050BA" w:rsidP="00DC0DFF"/>
    <w:p w14:paraId="7DC920CF" w14:textId="77777777" w:rsidR="00361011" w:rsidRPr="007E1CF4" w:rsidRDefault="00361011" w:rsidP="00361011">
      <w:pPr>
        <w:jc w:val="center"/>
        <w:rPr>
          <w:b/>
          <w:bCs/>
        </w:rPr>
      </w:pPr>
      <w:r w:rsidRPr="007E1CF4">
        <w:rPr>
          <w:b/>
          <w:bCs/>
        </w:rPr>
        <w:t>§ 2</w:t>
      </w:r>
    </w:p>
    <w:p w14:paraId="39FB57D1" w14:textId="5075A2A9" w:rsidR="00DC0DFF" w:rsidRDefault="00361011" w:rsidP="00361011">
      <w:r w:rsidRPr="007E1CF4">
        <w:t xml:space="preserve">I hvidvaskloven, </w:t>
      </w:r>
      <w:r>
        <w:t xml:space="preserve">som sat i kraft for Færøerne, jf. § 1, </w:t>
      </w:r>
      <w:r w:rsidRPr="007E1CF4">
        <w:t xml:space="preserve">foretages </w:t>
      </w:r>
      <w:r>
        <w:t>i medfør af § 2 i lov nr. 1940 af 15. december 2020 følgende ændringer:</w:t>
      </w:r>
    </w:p>
    <w:p w14:paraId="077864E0" w14:textId="77777777" w:rsidR="00361011" w:rsidRDefault="00361011" w:rsidP="002C2015">
      <w:pPr>
        <w:jc w:val="left"/>
        <w:rPr>
          <w:b/>
          <w:bCs/>
        </w:rPr>
      </w:pPr>
    </w:p>
    <w:p w14:paraId="6F75D2FA" w14:textId="4BEE13BF" w:rsidR="002C2015" w:rsidRPr="007E1CF4" w:rsidRDefault="002C2015" w:rsidP="002C2015">
      <w:pPr>
        <w:jc w:val="left"/>
      </w:pPr>
      <w:r w:rsidRPr="00925E51">
        <w:rPr>
          <w:b/>
          <w:bCs/>
        </w:rPr>
        <w:lastRenderedPageBreak/>
        <w:t>1</w:t>
      </w:r>
      <w:r w:rsidRPr="00666CBC">
        <w:rPr>
          <w:b/>
          <w:bCs/>
        </w:rPr>
        <w:t>.</w:t>
      </w:r>
      <w:r w:rsidRPr="007E1CF4">
        <w:t xml:space="preserve"> I </w:t>
      </w:r>
      <w:r w:rsidRPr="00CC5137">
        <w:rPr>
          <w:i/>
          <w:iCs/>
        </w:rPr>
        <w:t>§ 1, stk. 1, nr. 19</w:t>
      </w:r>
      <w:r w:rsidRPr="00666CBC">
        <w:rPr>
          <w:i/>
          <w:iCs/>
        </w:rPr>
        <w:t xml:space="preserve">, </w:t>
      </w:r>
      <w:r w:rsidRPr="007E1CF4">
        <w:t>ændres »stk. 4« til: »stk. 6«.</w:t>
      </w:r>
    </w:p>
    <w:p w14:paraId="162BA142" w14:textId="77777777" w:rsidR="002C2015" w:rsidRDefault="002C2015" w:rsidP="002C2015">
      <w:pPr>
        <w:jc w:val="left"/>
      </w:pPr>
    </w:p>
    <w:p w14:paraId="22D60BC3" w14:textId="77777777" w:rsidR="002C2015" w:rsidRPr="007E1CF4" w:rsidRDefault="002C2015" w:rsidP="002C2015">
      <w:pPr>
        <w:jc w:val="left"/>
      </w:pPr>
      <w:r w:rsidRPr="00925E51">
        <w:rPr>
          <w:b/>
          <w:bCs/>
        </w:rPr>
        <w:t>2</w:t>
      </w:r>
      <w:r w:rsidRPr="00666CBC">
        <w:rPr>
          <w:b/>
          <w:bCs/>
        </w:rPr>
        <w:t>.</w:t>
      </w:r>
      <w:r>
        <w:t xml:space="preserve"> </w:t>
      </w:r>
      <w:r w:rsidRPr="00CC5137">
        <w:rPr>
          <w:i/>
          <w:iCs/>
        </w:rPr>
        <w:t>§ 1, stk. 1, nr. 20</w:t>
      </w:r>
      <w:r w:rsidRPr="00666CBC">
        <w:rPr>
          <w:i/>
          <w:iCs/>
        </w:rPr>
        <w:t xml:space="preserve">, </w:t>
      </w:r>
      <w:r w:rsidRPr="007E1CF4">
        <w:t>affattes således:</w:t>
      </w:r>
    </w:p>
    <w:p w14:paraId="088E06D1" w14:textId="35A35219" w:rsidR="002C2015" w:rsidRPr="007E1CF4" w:rsidRDefault="002C2015" w:rsidP="002C2015">
      <w:pPr>
        <w:jc w:val="left"/>
      </w:pPr>
      <w:proofErr w:type="gramStart"/>
      <w:r w:rsidRPr="007E1CF4">
        <w:t>»</w:t>
      </w:r>
      <w:r w:rsidR="002F77DB">
        <w:t>(</w:t>
      </w:r>
      <w:proofErr w:type="gramEnd"/>
      <w:r w:rsidR="002F77DB">
        <w:t>Sættes ikke i kraft for Færøerne)</w:t>
      </w:r>
      <w:r w:rsidRPr="007E1CF4">
        <w:t>«</w:t>
      </w:r>
    </w:p>
    <w:p w14:paraId="4BA844A2" w14:textId="77777777" w:rsidR="002C2015" w:rsidRDefault="002C2015" w:rsidP="002C2015">
      <w:pPr>
        <w:jc w:val="left"/>
      </w:pPr>
    </w:p>
    <w:p w14:paraId="115DEA59" w14:textId="77777777" w:rsidR="002C2015" w:rsidRPr="007E1CF4" w:rsidRDefault="002C2015" w:rsidP="002C2015">
      <w:pPr>
        <w:jc w:val="left"/>
      </w:pPr>
      <w:r w:rsidRPr="00925E51">
        <w:rPr>
          <w:b/>
          <w:bCs/>
        </w:rPr>
        <w:t>3.</w:t>
      </w:r>
      <w:r w:rsidRPr="007E1CF4">
        <w:t xml:space="preserve"> Efter § 5 indsættes før overskriften før § 6:</w:t>
      </w:r>
    </w:p>
    <w:p w14:paraId="5AF41699" w14:textId="3DF37563" w:rsidR="002C2015" w:rsidRPr="007E1CF4" w:rsidRDefault="002C2015" w:rsidP="002C2015">
      <w:pPr>
        <w:jc w:val="left"/>
      </w:pPr>
      <w:r w:rsidRPr="00666CBC">
        <w:rPr>
          <w:b/>
          <w:bCs/>
        </w:rPr>
        <w:t>»§ 5 a.</w:t>
      </w:r>
      <w:r w:rsidRPr="007E1CF4">
        <w:t xml:space="preserve"> Betalinger foretaget med anonyme forudbetalte kort udstedt i </w:t>
      </w:r>
      <w:r w:rsidR="00914DFD">
        <w:t>lande udenfor EU/EØS</w:t>
      </w:r>
      <w:r w:rsidR="00914DFD" w:rsidRPr="007E1CF4">
        <w:t xml:space="preserve"> </w:t>
      </w:r>
      <w:r w:rsidRPr="007E1CF4">
        <w:t xml:space="preserve">må ikke indløses </w:t>
      </w:r>
      <w:r w:rsidR="00914DFD">
        <w:t>på Færøerne</w:t>
      </w:r>
      <w:r w:rsidRPr="007E1CF4">
        <w:t xml:space="preserve">. Tilsvarende må restværdien i kontanter eller kontanthævning af pengeværdien på sådanne betalingskort ikke indløses </w:t>
      </w:r>
      <w:r w:rsidR="00914DFD">
        <w:t>på Færøerne</w:t>
      </w:r>
      <w:r w:rsidRPr="007E1CF4">
        <w:t>.«</w:t>
      </w:r>
    </w:p>
    <w:p w14:paraId="6113C33F" w14:textId="77777777" w:rsidR="002C2015" w:rsidRDefault="002C2015" w:rsidP="002C2015">
      <w:pPr>
        <w:jc w:val="left"/>
      </w:pPr>
    </w:p>
    <w:p w14:paraId="4E3635A8" w14:textId="77777777" w:rsidR="002C2015" w:rsidRPr="007E1CF4" w:rsidRDefault="002C2015" w:rsidP="002C2015">
      <w:pPr>
        <w:jc w:val="left"/>
      </w:pPr>
      <w:r w:rsidRPr="00925E51">
        <w:rPr>
          <w:b/>
          <w:bCs/>
        </w:rPr>
        <w:t>4.</w:t>
      </w:r>
      <w:r w:rsidRPr="007E1CF4">
        <w:t xml:space="preserve"> I </w:t>
      </w:r>
      <w:r w:rsidRPr="00CC5137">
        <w:rPr>
          <w:i/>
          <w:iCs/>
        </w:rPr>
        <w:t>§ 7, stk. 2, 1. pkt</w:t>
      </w:r>
      <w:r w:rsidRPr="007E1CF4">
        <w:t>.</w:t>
      </w:r>
      <w:r w:rsidRPr="00666CBC">
        <w:rPr>
          <w:i/>
          <w:iCs/>
        </w:rPr>
        <w:t>,</w:t>
      </w:r>
      <w:r w:rsidRPr="007E1CF4">
        <w:t xml:space="preserve"> indsættes efter »§ 8, stk. 2«: », § 17, stk. 2, nr. 5«.</w:t>
      </w:r>
    </w:p>
    <w:p w14:paraId="10B54BD8" w14:textId="77777777" w:rsidR="002C2015" w:rsidRDefault="002C2015" w:rsidP="002C2015">
      <w:pPr>
        <w:jc w:val="left"/>
      </w:pPr>
    </w:p>
    <w:p w14:paraId="162B60D5" w14:textId="77777777" w:rsidR="002C2015" w:rsidRPr="007E1CF4" w:rsidRDefault="002C2015" w:rsidP="002C2015">
      <w:pPr>
        <w:jc w:val="left"/>
      </w:pPr>
      <w:r w:rsidRPr="00925E51">
        <w:rPr>
          <w:b/>
          <w:bCs/>
        </w:rPr>
        <w:t>5.</w:t>
      </w:r>
      <w:r w:rsidRPr="007E1CF4">
        <w:t xml:space="preserve"> I </w:t>
      </w:r>
      <w:r w:rsidRPr="00CC5137">
        <w:rPr>
          <w:i/>
          <w:iCs/>
        </w:rPr>
        <w:t>§ 8, stk. 4</w:t>
      </w:r>
      <w:r w:rsidRPr="00666CBC">
        <w:rPr>
          <w:i/>
          <w:iCs/>
        </w:rPr>
        <w:t xml:space="preserve">, </w:t>
      </w:r>
      <w:r w:rsidRPr="007E1CF4">
        <w:t xml:space="preserve">indsættes efter »og </w:t>
      </w:r>
      <w:r w:rsidRPr="008A112F">
        <w:t xml:space="preserve">som har en intern revision eller intern audit,«: »og bestyrelser i andre virksomheder, der er omfattet af § 1, stk. 1, og som </w:t>
      </w:r>
      <w:r w:rsidRPr="00666CBC">
        <w:t>i henhold til anden lovgivning er underlagt krav om en intern revision eller intern audit,«.</w:t>
      </w:r>
    </w:p>
    <w:p w14:paraId="192E8A2C" w14:textId="77777777" w:rsidR="002C2015" w:rsidRDefault="002C2015" w:rsidP="002C2015">
      <w:pPr>
        <w:jc w:val="left"/>
      </w:pPr>
    </w:p>
    <w:p w14:paraId="297775B4" w14:textId="77777777" w:rsidR="002C2015" w:rsidRPr="007E1CF4" w:rsidRDefault="002C2015" w:rsidP="002C2015">
      <w:pPr>
        <w:jc w:val="left"/>
      </w:pPr>
      <w:r w:rsidRPr="00925E51">
        <w:rPr>
          <w:b/>
          <w:bCs/>
        </w:rPr>
        <w:t>6.</w:t>
      </w:r>
      <w:r w:rsidRPr="007E1CF4">
        <w:t xml:space="preserve"> I </w:t>
      </w:r>
      <w:r w:rsidRPr="00CC5137">
        <w:rPr>
          <w:i/>
          <w:iCs/>
        </w:rPr>
        <w:t>§ 11, stk. 1, nr. 3, 4. pkt.,</w:t>
      </w:r>
      <w:r w:rsidRPr="007E1CF4">
        <w:t xml:space="preserve"> ændres »§ 2, litra a, nr. ii« til: »§ 2, nr. 9, litra a, nr. ii«.</w:t>
      </w:r>
    </w:p>
    <w:p w14:paraId="66EB4B50" w14:textId="77777777" w:rsidR="002C2015" w:rsidRDefault="002C2015" w:rsidP="002C2015">
      <w:pPr>
        <w:jc w:val="left"/>
      </w:pPr>
    </w:p>
    <w:p w14:paraId="6BB51C7E" w14:textId="77777777" w:rsidR="002C2015" w:rsidRPr="007E1CF4" w:rsidRDefault="002C2015" w:rsidP="002C2015">
      <w:pPr>
        <w:jc w:val="left"/>
      </w:pPr>
      <w:r w:rsidRPr="00925E51">
        <w:rPr>
          <w:b/>
          <w:bCs/>
        </w:rPr>
        <w:t>7.</w:t>
      </w:r>
      <w:r w:rsidRPr="007E1CF4">
        <w:t xml:space="preserve"> I </w:t>
      </w:r>
      <w:r w:rsidRPr="00CC5137">
        <w:rPr>
          <w:i/>
          <w:iCs/>
        </w:rPr>
        <w:t>§ 14, stk. 6, 2. pkt.,</w:t>
      </w:r>
      <w:r w:rsidRPr="007E1CF4">
        <w:t xml:space="preserve"> ændres »stk. 2« til: »stk. 5«.</w:t>
      </w:r>
    </w:p>
    <w:p w14:paraId="1E130536" w14:textId="77777777" w:rsidR="002C2015" w:rsidRDefault="002C2015" w:rsidP="002C2015">
      <w:pPr>
        <w:jc w:val="left"/>
      </w:pPr>
    </w:p>
    <w:p w14:paraId="5ABBB0C6" w14:textId="7C99C676" w:rsidR="002C2015" w:rsidRPr="007E1CF4" w:rsidRDefault="002C2015" w:rsidP="002C2015">
      <w:pPr>
        <w:jc w:val="left"/>
      </w:pPr>
      <w:r w:rsidRPr="00925E51">
        <w:rPr>
          <w:b/>
          <w:bCs/>
        </w:rPr>
        <w:t>8</w:t>
      </w:r>
      <w:r w:rsidRPr="00666CBC">
        <w:rPr>
          <w:b/>
          <w:bCs/>
          <w:i/>
          <w:iCs/>
        </w:rPr>
        <w:t>.</w:t>
      </w:r>
      <w:r w:rsidR="00F37F75">
        <w:rPr>
          <w:i/>
          <w:iCs/>
        </w:rPr>
        <w:t xml:space="preserve"> </w:t>
      </w:r>
      <w:r w:rsidRPr="00CC5137">
        <w:rPr>
          <w:i/>
          <w:iCs/>
        </w:rPr>
        <w:t>§ 25, stk. 1</w:t>
      </w:r>
      <w:r w:rsidRPr="00666CBC">
        <w:rPr>
          <w:i/>
          <w:iCs/>
        </w:rPr>
        <w:t>,</w:t>
      </w:r>
      <w:r w:rsidRPr="007E1CF4">
        <w:t xml:space="preserve"> affattes således:</w:t>
      </w:r>
    </w:p>
    <w:p w14:paraId="6D7972B2" w14:textId="77777777" w:rsidR="002C2015" w:rsidRPr="007E1CF4" w:rsidRDefault="002C2015" w:rsidP="002C2015">
      <w:pPr>
        <w:jc w:val="left"/>
      </w:pPr>
      <w:r w:rsidRPr="007E1CF4">
        <w:t xml:space="preserve">»Virksomheder og personer skal undersøge baggrunden for og formålet med: </w:t>
      </w:r>
    </w:p>
    <w:p w14:paraId="6731FD8A" w14:textId="77777777" w:rsidR="002C2015" w:rsidRPr="007E1CF4" w:rsidRDefault="002C2015" w:rsidP="002C2015">
      <w:pPr>
        <w:pStyle w:val="Listeafsnit"/>
        <w:numPr>
          <w:ilvl w:val="0"/>
          <w:numId w:val="1"/>
        </w:numPr>
        <w:jc w:val="left"/>
      </w:pPr>
      <w:r w:rsidRPr="007E1CF4">
        <w:t>Alle transaktioner, der</w:t>
      </w:r>
    </w:p>
    <w:p w14:paraId="03D8801D" w14:textId="3FEB28F0" w:rsidR="002C2015" w:rsidRPr="007E1CF4" w:rsidRDefault="002C2015" w:rsidP="002C2015">
      <w:pPr>
        <w:pStyle w:val="Listeafsnit"/>
        <w:numPr>
          <w:ilvl w:val="1"/>
          <w:numId w:val="1"/>
        </w:numPr>
        <w:jc w:val="left"/>
      </w:pPr>
      <w:r w:rsidRPr="007E1CF4">
        <w:t>er komplekse,</w:t>
      </w:r>
    </w:p>
    <w:p w14:paraId="23B77802" w14:textId="3B8E4E16" w:rsidR="002C2015" w:rsidRPr="007E1CF4" w:rsidRDefault="002C2015" w:rsidP="002C2015">
      <w:pPr>
        <w:pStyle w:val="Listeafsnit"/>
        <w:numPr>
          <w:ilvl w:val="1"/>
          <w:numId w:val="1"/>
        </w:numPr>
        <w:jc w:val="left"/>
      </w:pPr>
      <w:r w:rsidRPr="007E1CF4">
        <w:t>er usædvanligt store,</w:t>
      </w:r>
    </w:p>
    <w:p w14:paraId="5083A34A" w14:textId="5D568618" w:rsidR="002C2015" w:rsidRPr="007E1CF4" w:rsidRDefault="002C2015" w:rsidP="002C2015">
      <w:pPr>
        <w:pStyle w:val="Listeafsnit"/>
        <w:numPr>
          <w:ilvl w:val="1"/>
          <w:numId w:val="1"/>
        </w:numPr>
        <w:jc w:val="left"/>
      </w:pPr>
      <w:r w:rsidRPr="007E1CF4">
        <w:t>foretages i et usædvanligt mønster eller</w:t>
      </w:r>
    </w:p>
    <w:p w14:paraId="651C416C" w14:textId="77777777" w:rsidR="002C2015" w:rsidRPr="007E1CF4" w:rsidRDefault="002C2015" w:rsidP="002C2015">
      <w:pPr>
        <w:pStyle w:val="Listeafsnit"/>
        <w:numPr>
          <w:ilvl w:val="1"/>
          <w:numId w:val="1"/>
        </w:numPr>
        <w:jc w:val="left"/>
      </w:pPr>
      <w:r w:rsidRPr="007E1CF4">
        <w:t xml:space="preserve">ikke har et åbenbart økonomisk eller lovligt formål. </w:t>
      </w:r>
    </w:p>
    <w:p w14:paraId="0806A986" w14:textId="5B633A55" w:rsidR="002C2015" w:rsidRPr="007E1CF4" w:rsidRDefault="002C2015" w:rsidP="002C2015">
      <w:pPr>
        <w:pStyle w:val="Listeafsnit"/>
        <w:numPr>
          <w:ilvl w:val="0"/>
          <w:numId w:val="1"/>
        </w:numPr>
        <w:jc w:val="left"/>
      </w:pPr>
      <w:r w:rsidRPr="007E1CF4">
        <w:t>Alle usædvanlige aktiviteter, der ikke har et åbenbart økonomisk eller lovligt formål.«</w:t>
      </w:r>
    </w:p>
    <w:p w14:paraId="02A232A1" w14:textId="77777777" w:rsidR="002C2015" w:rsidRDefault="002C2015" w:rsidP="002C2015">
      <w:pPr>
        <w:jc w:val="left"/>
      </w:pPr>
    </w:p>
    <w:p w14:paraId="237CFFC4" w14:textId="0A01FA8B" w:rsidR="002C2015" w:rsidRPr="007E1CF4" w:rsidRDefault="002C2015" w:rsidP="002C2015">
      <w:pPr>
        <w:jc w:val="left"/>
      </w:pPr>
      <w:r w:rsidRPr="00925E51">
        <w:rPr>
          <w:b/>
          <w:bCs/>
        </w:rPr>
        <w:t>9</w:t>
      </w:r>
      <w:r w:rsidRPr="00666CBC">
        <w:rPr>
          <w:b/>
          <w:bCs/>
        </w:rPr>
        <w:t>.</w:t>
      </w:r>
      <w:r w:rsidRPr="007E1CF4">
        <w:t xml:space="preserve"> I </w:t>
      </w:r>
      <w:r w:rsidRPr="00CC5137">
        <w:rPr>
          <w:i/>
          <w:iCs/>
        </w:rPr>
        <w:t>§ 47, stk. 1, 1. pkt</w:t>
      </w:r>
      <w:r w:rsidRPr="007E1CF4">
        <w:t>.</w:t>
      </w:r>
      <w:r w:rsidRPr="00666CBC">
        <w:rPr>
          <w:i/>
          <w:iCs/>
        </w:rPr>
        <w:t>,</w:t>
      </w:r>
      <w:r w:rsidRPr="007E1CF4">
        <w:t xml:space="preserve"> indsættes efter »§ 1, stk. 1, nr. 1</w:t>
      </w:r>
      <w:r w:rsidR="00D051C6">
        <w:t>, 3, 5-6, 8-11, 14</w:t>
      </w:r>
      <w:r w:rsidRPr="007E1CF4">
        <w:t>, 19, 23 og 24«: », og filialer, distributører og agenter her i landet af sådanne udenlandske virksomheder og personer«.</w:t>
      </w:r>
    </w:p>
    <w:p w14:paraId="0D6CBB4E" w14:textId="77777777" w:rsidR="002C2015" w:rsidRDefault="002C2015" w:rsidP="002C2015">
      <w:pPr>
        <w:jc w:val="left"/>
      </w:pPr>
    </w:p>
    <w:p w14:paraId="1F5A5330" w14:textId="08F55C26" w:rsidR="002C2015" w:rsidRPr="007E1CF4" w:rsidRDefault="002C2015" w:rsidP="002C2015">
      <w:pPr>
        <w:jc w:val="left"/>
      </w:pPr>
      <w:r w:rsidRPr="00925E51">
        <w:rPr>
          <w:b/>
          <w:bCs/>
        </w:rPr>
        <w:t>10</w:t>
      </w:r>
      <w:r w:rsidRPr="00666CBC">
        <w:rPr>
          <w:b/>
          <w:bCs/>
        </w:rPr>
        <w:t xml:space="preserve">. </w:t>
      </w:r>
      <w:r w:rsidR="00D051C6">
        <w:t>(Sættes ikke i kraft for Færøerne)</w:t>
      </w:r>
    </w:p>
    <w:p w14:paraId="67362696" w14:textId="77777777" w:rsidR="002C2015" w:rsidRDefault="002C2015" w:rsidP="002C2015">
      <w:pPr>
        <w:jc w:val="left"/>
      </w:pPr>
    </w:p>
    <w:p w14:paraId="3C2AAE1A" w14:textId="20F73615" w:rsidR="002C2015" w:rsidRPr="007E1CF4" w:rsidRDefault="002C2015" w:rsidP="00D051C6">
      <w:pPr>
        <w:jc w:val="left"/>
      </w:pPr>
      <w:r w:rsidRPr="00925E51">
        <w:rPr>
          <w:b/>
          <w:bCs/>
        </w:rPr>
        <w:t>11</w:t>
      </w:r>
      <w:r w:rsidRPr="00666CBC">
        <w:rPr>
          <w:b/>
          <w:bCs/>
        </w:rPr>
        <w:t>.</w:t>
      </w:r>
      <w:r w:rsidRPr="007E1CF4">
        <w:t xml:space="preserve"> </w:t>
      </w:r>
      <w:r w:rsidR="00D051C6">
        <w:t>(Sættes ikke i kraft for Færøerne)</w:t>
      </w:r>
    </w:p>
    <w:p w14:paraId="4C65DF68" w14:textId="77777777" w:rsidR="002C2015" w:rsidRDefault="002C2015" w:rsidP="002C2015">
      <w:pPr>
        <w:jc w:val="left"/>
      </w:pPr>
    </w:p>
    <w:p w14:paraId="7B3868F4" w14:textId="46E282DE" w:rsidR="002C2015" w:rsidRPr="007E1CF4" w:rsidRDefault="002C2015" w:rsidP="002C2015">
      <w:pPr>
        <w:jc w:val="left"/>
      </w:pPr>
      <w:r w:rsidRPr="00925E51">
        <w:rPr>
          <w:b/>
          <w:bCs/>
        </w:rPr>
        <w:t>12.</w:t>
      </w:r>
      <w:r w:rsidRPr="007E1CF4">
        <w:t xml:space="preserve"> I </w:t>
      </w:r>
      <w:r w:rsidRPr="00CC5137">
        <w:rPr>
          <w:i/>
          <w:iCs/>
        </w:rPr>
        <w:t>§ 64, stk. 1, 1. pkt</w:t>
      </w:r>
      <w:r w:rsidRPr="007E1CF4">
        <w:t>.</w:t>
      </w:r>
      <w:r w:rsidRPr="00666CBC">
        <w:rPr>
          <w:i/>
          <w:iCs/>
        </w:rPr>
        <w:t>,</w:t>
      </w:r>
      <w:r w:rsidRPr="007E1CF4">
        <w:t xml:space="preserve"> indsættes efter »§ 1, stk. 1, nr. 14«: », og advokater, der er etableret i en EU-medlemsstat, i et EØS-land eller i Schweiz, og som udøver advokatvirksomhed her i landet«.</w:t>
      </w:r>
    </w:p>
    <w:p w14:paraId="3E1F401E" w14:textId="77777777" w:rsidR="002C2015" w:rsidRDefault="002C2015" w:rsidP="002C2015">
      <w:pPr>
        <w:jc w:val="left"/>
      </w:pPr>
    </w:p>
    <w:p w14:paraId="33A16F7A" w14:textId="500D4417" w:rsidR="002C2015" w:rsidRPr="007E1CF4" w:rsidRDefault="002C2015" w:rsidP="002F77DB">
      <w:pPr>
        <w:jc w:val="left"/>
      </w:pPr>
      <w:r w:rsidRPr="00925E51">
        <w:rPr>
          <w:b/>
          <w:bCs/>
        </w:rPr>
        <w:t>13.</w:t>
      </w:r>
      <w:r w:rsidRPr="007E1CF4">
        <w:t xml:space="preserve"> </w:t>
      </w:r>
      <w:r w:rsidR="002F77DB">
        <w:t>(Sættes ikke i kraft for Færøerne)</w:t>
      </w:r>
      <w:r w:rsidR="002F77DB" w:rsidRPr="007E1CF4" w:rsidDel="002F77DB">
        <w:t xml:space="preserve"> </w:t>
      </w:r>
    </w:p>
    <w:p w14:paraId="533E6D37" w14:textId="77777777" w:rsidR="002C2015" w:rsidRDefault="002C2015" w:rsidP="002C2015">
      <w:pPr>
        <w:jc w:val="left"/>
      </w:pPr>
    </w:p>
    <w:p w14:paraId="1CF0C547" w14:textId="77777777" w:rsidR="002C2015" w:rsidRPr="007E1CF4" w:rsidRDefault="002C2015" w:rsidP="002C2015">
      <w:pPr>
        <w:jc w:val="left"/>
      </w:pPr>
      <w:r w:rsidRPr="00925E51">
        <w:rPr>
          <w:b/>
          <w:bCs/>
        </w:rPr>
        <w:t>14.</w:t>
      </w:r>
      <w:r w:rsidRPr="007E1CF4">
        <w:t xml:space="preserve"> Efter § 64 indsættes før overskriften før § 65:</w:t>
      </w:r>
    </w:p>
    <w:p w14:paraId="5BCCF6A7" w14:textId="77777777" w:rsidR="002C2015" w:rsidRPr="007E1CF4" w:rsidRDefault="002C2015" w:rsidP="002C2015">
      <w:pPr>
        <w:jc w:val="left"/>
      </w:pPr>
      <w:r w:rsidRPr="00666CBC">
        <w:rPr>
          <w:b/>
          <w:bCs/>
        </w:rPr>
        <w:t>»</w:t>
      </w:r>
      <w:r w:rsidRPr="00CC5137">
        <w:rPr>
          <w:b/>
          <w:bCs/>
        </w:rPr>
        <w:t xml:space="preserve">§ 64 a. </w:t>
      </w:r>
      <w:r w:rsidRPr="007E1CF4">
        <w:t>Advokatrådets reaktioner i forbindelse med tilsyn efter § 64, herunder beslutninger om at overdrage en sag til politimæssig efterforskning, skal offentliggøres af Advokatrådet på Advokatsamfundets hjemmeside, jf. dog stk. 5. Offentliggørelsen skal omfatte den juridiske eller fysiske persons navn, jf. dog stk. 3.</w:t>
      </w:r>
    </w:p>
    <w:p w14:paraId="611F57E8" w14:textId="77777777" w:rsidR="002C2015" w:rsidRPr="007E1CF4" w:rsidRDefault="002C2015" w:rsidP="002C2015">
      <w:pPr>
        <w:jc w:val="left"/>
      </w:pPr>
      <w:r w:rsidRPr="00CC5137">
        <w:rPr>
          <w:i/>
          <w:iCs/>
        </w:rPr>
        <w:lastRenderedPageBreak/>
        <w:t>Stk. 2.</w:t>
      </w:r>
      <w:r w:rsidRPr="007E1CF4">
        <w:t xml:space="preserve"> Offentliggjorte reaktioner forbliver på Advokatsamfundets hjemmeside i 5 år efter offentliggørelsen. Personoplysninger indeholdt i offentliggørelsen må dog kun forblive på Advokatrådets hjemmeside i det nødvendige tidsrum.</w:t>
      </w:r>
    </w:p>
    <w:p w14:paraId="0A7C470F" w14:textId="77777777" w:rsidR="002C2015" w:rsidRPr="007E1CF4" w:rsidRDefault="002C2015" w:rsidP="002C2015">
      <w:pPr>
        <w:jc w:val="left"/>
      </w:pPr>
      <w:r w:rsidRPr="00CC5137">
        <w:rPr>
          <w:i/>
          <w:iCs/>
        </w:rPr>
        <w:t>Stk. 3.</w:t>
      </w:r>
      <w:r w:rsidRPr="007E1CF4">
        <w:t xml:space="preserve"> Offentliggørelse efter stk. 1, der omfatter en fysisk persons navn, kan dog alene ske ved personens alvorlige, gentagne eller systematiske overtrædelser af § 10, nr. 1, 2, 4 og 5, § 11, stk. 1 og 2 og stk. 3, 1., 3. og 4. pkt., § 14, stk. 1, stk. 2, 2. pkt., og stk. 3 og 5, § 17, stk. 1 og 2, § 18, § 21, stk. 1, 2. pkt., § 25, stk. 1, § 26, stk. 1 og 3 og stk. 4, 1. pkt., og § 30.</w:t>
      </w:r>
    </w:p>
    <w:p w14:paraId="5CBED3E1" w14:textId="77777777" w:rsidR="002C2015" w:rsidRPr="007E1CF4" w:rsidRDefault="002C2015" w:rsidP="002C2015">
      <w:pPr>
        <w:jc w:val="left"/>
      </w:pPr>
      <w:r w:rsidRPr="00CC5137">
        <w:rPr>
          <w:i/>
          <w:iCs/>
        </w:rPr>
        <w:t>Stk. 4</w:t>
      </w:r>
      <w:r w:rsidRPr="007E1CF4">
        <w:t>. Har Advokatrådet overgivet en sag til politimæssig efterforskning, og er der afsagt fældende dom eller vedtaget bøde, skal Advokatrådet offentliggøre dommen, bødevedtagelsen eller et resumé heraf, jf. dog stk. 5. Er dommen ikke endelig, skal dette fremgå af offentliggørelsen. Stk. 1 og 2 finder tilsvarende anvendelse.</w:t>
      </w:r>
    </w:p>
    <w:p w14:paraId="1FD338E1" w14:textId="77777777" w:rsidR="002C2015" w:rsidRPr="007E1CF4" w:rsidRDefault="002C2015" w:rsidP="002C2015">
      <w:pPr>
        <w:jc w:val="left"/>
      </w:pPr>
      <w:r w:rsidRPr="00CC5137">
        <w:rPr>
          <w:i/>
          <w:iCs/>
        </w:rPr>
        <w:t>Stk. 5.</w:t>
      </w:r>
      <w:r w:rsidRPr="007E1CF4">
        <w:t xml:space="preserve"> Offentliggørelse efter stk. 1-4 kan dog ikke ske, hvis det vil medføre uforholdsmæssig stor skade for virksomheden eller efterforskningsmæssige hensyn taler imod offentliggørelse. Oplysninger om enkeltpersoners private, herunder økonomiske, forhold og tekniske indretninger eller fremgangsmåder eller om drifts- eller forretningsforhold el.lign., for så vidt det er af væsentlig økonomisk betydning for den person eller virksomhed, oplysningerne angår, offentliggøres ikke. Offentliggørelsen må ikke indeholde fortrolige oplysninger, der hidrører fra en myndighed fra et EU- eller EØS-land, medmindre de myndigheder, som har afgivet oplysningerne, har givet deres udtrykkelige tilladelse.</w:t>
      </w:r>
    </w:p>
    <w:p w14:paraId="0539D6ED" w14:textId="77777777" w:rsidR="002C2015" w:rsidRPr="007E1CF4" w:rsidRDefault="002C2015" w:rsidP="002C2015">
      <w:pPr>
        <w:jc w:val="left"/>
      </w:pPr>
      <w:r w:rsidRPr="00CC5137">
        <w:rPr>
          <w:i/>
          <w:iCs/>
        </w:rPr>
        <w:t>Stk. 6</w:t>
      </w:r>
      <w:r w:rsidRPr="007E1CF4">
        <w:t>. Er offentliggørelse undladt i henhold til stk. 5, 1. pkt., skal der ske offentliggørelse efter stk. 1-4, når de hensyn, der nødvendiggjorde undladelsen, ikke længere er gældende. Efter 2 år fra datoen for reaktionen eller beslutningen om at overgive sagen til politimæssig efterforskning skal der dog ikke ske offentliggørelse uanset 1. pkt</w:t>
      </w:r>
      <w:r w:rsidRPr="002727D6">
        <w:t xml:space="preserve">. </w:t>
      </w:r>
      <w:r w:rsidRPr="00666CBC">
        <w:t>Der skal alene ske offentliggørelse, hvis der ikke er sket påtaleopgivelse eller tiltalefrafald efter retsplejelovens regler.</w:t>
      </w:r>
    </w:p>
    <w:p w14:paraId="16F6E4A4" w14:textId="77777777" w:rsidR="002C2015" w:rsidRDefault="002C2015" w:rsidP="002C2015">
      <w:pPr>
        <w:jc w:val="left"/>
      </w:pPr>
      <w:r w:rsidRPr="00CC5137">
        <w:rPr>
          <w:i/>
          <w:iCs/>
        </w:rPr>
        <w:t>Stk. 7.</w:t>
      </w:r>
      <w:r w:rsidRPr="007E1CF4">
        <w:t xml:space="preserve"> I sager, hvor Advokatrådet har offentliggjort en beslutning om at overgive en sag til politimæssig efterforskning efter stk. 1 og der træffes afgørelse om påtaleopgivelse eller tiltalefrafald eller afsiges frifindelse i Advokatnævnet eller afsiges frifindende dom, skal Advokatrådet efter anmodning fra den fysiske eller juridiske person, som sagen vedrører, offentliggøre oplysninger herom. Den fysiske eller juridiske person skal indsende en kopi af afgørelsen om påtaleopgivelse eller tiltalefrafald eller en kopi af frifindende afgørelse eller dom til Advokatrådet samtidig med anmodning om offentliggørelse. Er påtaleopgivelsen, tiltalefrafaldet, afgørelsen eller dommen ikke endelig, skal det fremgå af offentliggørelsen. Modtager Advokatrådet dokumentation for, at sagen er afsluttet ved endelig påtaleopgivelse, tiltalefrafald eller afsigelse af endelig frifindende afgørelse eller dom, skal Advokatrådet fjerne alle oplysninger om beslutningen om at overgive sagen til politimæssig efterforskning og eventuelle efterfølgende domme i sagen fra Advokatrådets hjemmeside.</w:t>
      </w:r>
    </w:p>
    <w:p w14:paraId="18AE374E" w14:textId="77777777" w:rsidR="002C2015" w:rsidRPr="007E1CF4" w:rsidRDefault="002C2015" w:rsidP="002C2015">
      <w:pPr>
        <w:jc w:val="left"/>
      </w:pPr>
      <w:r w:rsidRPr="00CC5137">
        <w:rPr>
          <w:i/>
          <w:iCs/>
        </w:rPr>
        <w:t>Stk. 8</w:t>
      </w:r>
      <w:r w:rsidRPr="007E1CF4">
        <w:t>. Advokatrådet skal efter anmodning fra en fysisk eller juridisk person, som er frifundet, offentliggøre resultatet af anken eller genoptagelsen. Den fysiske eller juridiske person skal samtidig med anmodningen om offentliggørelse indsende kopi af dommen i ankesagen eller den genoptagede sag. Er resultatet af anken eller den genoptagede sag et andet end resultatet af dommen offentliggjort i medfør af stk. 4, 1. pkt., kan Advokatrådet beslutte at fjerne dommen fra Advokatrådets hjemmeside.</w:t>
      </w:r>
    </w:p>
    <w:p w14:paraId="6E8C6900" w14:textId="03A4034A" w:rsidR="002C2015" w:rsidRPr="007E1CF4" w:rsidRDefault="002C2015" w:rsidP="002C2015">
      <w:pPr>
        <w:jc w:val="left"/>
      </w:pPr>
      <w:r w:rsidRPr="00CC5137">
        <w:rPr>
          <w:i/>
          <w:iCs/>
        </w:rPr>
        <w:t>Stk. 9.</w:t>
      </w:r>
      <w:r w:rsidRPr="007E1CF4">
        <w:t xml:space="preserve"> Advokatnævnets </w:t>
      </w:r>
      <w:r w:rsidRPr="006A1882">
        <w:t xml:space="preserve">kendelser for </w:t>
      </w:r>
      <w:r w:rsidRPr="00666CBC">
        <w:t>overtrædelse af denne lov og de regler, der er udstedt i medfør heraf, og regler om finansielle sanktioner mod lande, personer, grupper, juridiske enheder eller organer</w:t>
      </w:r>
      <w:r w:rsidRPr="007E1CF4">
        <w:t xml:space="preserve"> skal offentliggøres af Advokatrådet på Advokatsamfundets hjemmeside, når fristen for at indbringe kendelsen for retten er udløbet. Dette gælder dog ikke overholdelse af § 36. Kendelser, som indbringes for retten, offentliggøres, når der er afsagt endelig dom. Bestemmelserne i stk. 2-8 finder tilsvarende anvendelse.«</w:t>
      </w:r>
    </w:p>
    <w:p w14:paraId="1BA511A6" w14:textId="77777777" w:rsidR="002C2015" w:rsidRDefault="002C2015" w:rsidP="002C2015">
      <w:pPr>
        <w:jc w:val="left"/>
      </w:pPr>
    </w:p>
    <w:p w14:paraId="26A2CF78" w14:textId="461EE87A" w:rsidR="002C2015" w:rsidRPr="007E1CF4" w:rsidRDefault="002C2015" w:rsidP="002C2015">
      <w:pPr>
        <w:jc w:val="left"/>
      </w:pPr>
      <w:r w:rsidRPr="00925E51">
        <w:rPr>
          <w:b/>
          <w:bCs/>
        </w:rPr>
        <w:t>15</w:t>
      </w:r>
      <w:r w:rsidRPr="00666CBC">
        <w:rPr>
          <w:b/>
          <w:bCs/>
        </w:rPr>
        <w:t>.</w:t>
      </w:r>
      <w:r w:rsidRPr="007E1CF4">
        <w:t xml:space="preserve"> </w:t>
      </w:r>
      <w:r w:rsidR="006A1882">
        <w:t>(Sættes ikke i kraft for Færøerne)</w:t>
      </w:r>
    </w:p>
    <w:p w14:paraId="4EFDF0FB" w14:textId="77777777" w:rsidR="002C2015" w:rsidRDefault="002C2015" w:rsidP="002C2015">
      <w:pPr>
        <w:jc w:val="left"/>
      </w:pPr>
    </w:p>
    <w:p w14:paraId="7F12A479" w14:textId="18E8B959" w:rsidR="002C2015" w:rsidRPr="007E1CF4" w:rsidRDefault="002C2015" w:rsidP="002C2015">
      <w:pPr>
        <w:jc w:val="left"/>
      </w:pPr>
      <w:r w:rsidRPr="00925E51">
        <w:rPr>
          <w:b/>
          <w:bCs/>
        </w:rPr>
        <w:t>16.</w:t>
      </w:r>
      <w:r w:rsidRPr="007E1CF4">
        <w:t xml:space="preserve"> I </w:t>
      </w:r>
      <w:r w:rsidRPr="00CC5137">
        <w:rPr>
          <w:i/>
          <w:iCs/>
        </w:rPr>
        <w:t>§ 78, stk. 1, 2. pkt</w:t>
      </w:r>
      <w:r w:rsidRPr="007E1CF4">
        <w:t>.</w:t>
      </w:r>
      <w:r w:rsidRPr="00666CBC">
        <w:rPr>
          <w:i/>
          <w:iCs/>
        </w:rPr>
        <w:t>,</w:t>
      </w:r>
      <w:r w:rsidRPr="007E1CF4">
        <w:t xml:space="preserve"> </w:t>
      </w:r>
      <w:r w:rsidR="002A4930">
        <w:t xml:space="preserve">indsættes </w:t>
      </w:r>
      <w:r w:rsidR="002A4930" w:rsidRPr="007E1CF4">
        <w:t>»</w:t>
      </w:r>
      <w:r w:rsidR="002A4930">
        <w:t>efter overtrædelse af</w:t>
      </w:r>
      <w:r w:rsidR="002A4930" w:rsidRPr="007E1CF4">
        <w:t>«</w:t>
      </w:r>
      <w:r w:rsidR="002A4930">
        <w:t xml:space="preserve">: </w:t>
      </w:r>
      <w:r w:rsidRPr="007E1CF4">
        <w:t>»§ 5 a</w:t>
      </w:r>
      <w:r w:rsidR="002A4930">
        <w:t>,</w:t>
      </w:r>
      <w:r w:rsidRPr="007E1CF4">
        <w:t>«, og efter »§ 31 b, stk. 1« indsættes: », § 32«.</w:t>
      </w:r>
    </w:p>
    <w:p w14:paraId="093CA741" w14:textId="77777777" w:rsidR="002C2015" w:rsidRDefault="002C2015" w:rsidP="002C2015">
      <w:pPr>
        <w:jc w:val="left"/>
      </w:pPr>
    </w:p>
    <w:p w14:paraId="76E90E4D" w14:textId="77777777" w:rsidR="002C2015" w:rsidRPr="007E1CF4" w:rsidRDefault="002C2015" w:rsidP="002C2015">
      <w:pPr>
        <w:jc w:val="left"/>
      </w:pPr>
      <w:r w:rsidRPr="00925E51">
        <w:rPr>
          <w:b/>
          <w:bCs/>
        </w:rPr>
        <w:t>1</w:t>
      </w:r>
      <w:r w:rsidRPr="00C45ABB">
        <w:rPr>
          <w:b/>
          <w:bCs/>
        </w:rPr>
        <w:t>7</w:t>
      </w:r>
      <w:r w:rsidRPr="00666CBC">
        <w:rPr>
          <w:b/>
          <w:bCs/>
        </w:rPr>
        <w:t>.</w:t>
      </w:r>
      <w:r w:rsidRPr="007E1CF4">
        <w:t xml:space="preserve"> I </w:t>
      </w:r>
      <w:r w:rsidRPr="00CC5137">
        <w:rPr>
          <w:i/>
          <w:iCs/>
        </w:rPr>
        <w:t>§ 79</w:t>
      </w:r>
      <w:r w:rsidRPr="007E1CF4">
        <w:t xml:space="preserve"> ændres »§ 51« til: »§§ 51-51 b«.</w:t>
      </w:r>
    </w:p>
    <w:p w14:paraId="65D687D2" w14:textId="77777777" w:rsidR="002C2015" w:rsidRDefault="002C2015" w:rsidP="002C2015">
      <w:pPr>
        <w:jc w:val="left"/>
      </w:pPr>
    </w:p>
    <w:p w14:paraId="72257A33" w14:textId="77777777" w:rsidR="002C2015" w:rsidRDefault="002C2015" w:rsidP="002C2015">
      <w:pPr>
        <w:jc w:val="left"/>
      </w:pPr>
      <w:r w:rsidRPr="00925E51">
        <w:rPr>
          <w:b/>
          <w:bCs/>
        </w:rPr>
        <w:t>18.</w:t>
      </w:r>
      <w:r w:rsidRPr="007E1CF4">
        <w:t xml:space="preserve"> I </w:t>
      </w:r>
      <w:r w:rsidRPr="00CC5137">
        <w:rPr>
          <w:i/>
          <w:iCs/>
        </w:rPr>
        <w:t>§ 80, stk. 1,</w:t>
      </w:r>
      <w:r w:rsidRPr="007E1CF4">
        <w:t xml:space="preserve"> indsættes efter »§ 49, stk. 1 og 5«: », eller efter regler udstedt i medfør af § 49, stk. 7«</w:t>
      </w:r>
    </w:p>
    <w:p w14:paraId="0F2DFDC0" w14:textId="77777777" w:rsidR="006A1882" w:rsidRDefault="006A1882" w:rsidP="002C2015">
      <w:pPr>
        <w:jc w:val="left"/>
      </w:pPr>
    </w:p>
    <w:p w14:paraId="3C92F29E" w14:textId="598D235A" w:rsidR="00F32A43" w:rsidRPr="007E1CF4" w:rsidRDefault="00F32A43" w:rsidP="00F32A43">
      <w:pPr>
        <w:jc w:val="center"/>
        <w:rPr>
          <w:b/>
          <w:bCs/>
        </w:rPr>
      </w:pPr>
      <w:r w:rsidRPr="007E1CF4">
        <w:rPr>
          <w:b/>
          <w:bCs/>
        </w:rPr>
        <w:t xml:space="preserve">§ </w:t>
      </w:r>
      <w:r>
        <w:rPr>
          <w:b/>
          <w:bCs/>
        </w:rPr>
        <w:t>3</w:t>
      </w:r>
    </w:p>
    <w:p w14:paraId="6C726925" w14:textId="77777777" w:rsidR="00F32A43" w:rsidRPr="00C23AAF" w:rsidRDefault="00F32A43" w:rsidP="00F32A43">
      <w:pPr>
        <w:rPr>
          <w:b/>
          <w:bCs/>
        </w:rPr>
      </w:pPr>
    </w:p>
    <w:p w14:paraId="7C3890CC" w14:textId="77777777" w:rsidR="00F32A43" w:rsidRDefault="00F32A43" w:rsidP="00F32A43">
      <w:pPr>
        <w:jc w:val="left"/>
      </w:pPr>
      <w:r w:rsidRPr="007E1CF4">
        <w:t xml:space="preserve">I hvidvaskloven, </w:t>
      </w:r>
      <w:r>
        <w:t xml:space="preserve">som sat i kraft for Færøerne, jf. § 1, </w:t>
      </w:r>
      <w:r w:rsidRPr="007E1CF4">
        <w:t xml:space="preserve">foretages </w:t>
      </w:r>
      <w:r>
        <w:t xml:space="preserve">i medfør af § 302 i lov nr. 1155 af 8. juni 2021 </w:t>
      </w:r>
      <w:r w:rsidRPr="007E1CF4">
        <w:t>følgende ændringer:</w:t>
      </w:r>
    </w:p>
    <w:p w14:paraId="2117D2BB" w14:textId="77777777" w:rsidR="00F32A43" w:rsidRPr="00120C22" w:rsidRDefault="00F32A43" w:rsidP="00F32A43"/>
    <w:p w14:paraId="29FC03B6" w14:textId="1C1A555E" w:rsidR="00F32A43" w:rsidRPr="00120C22" w:rsidRDefault="00F32A43" w:rsidP="00F32A43">
      <w:r w:rsidRPr="00925E51">
        <w:rPr>
          <w:b/>
          <w:bCs/>
        </w:rPr>
        <w:t>1</w:t>
      </w:r>
      <w:r w:rsidRPr="00666CBC">
        <w:rPr>
          <w:b/>
          <w:bCs/>
        </w:rPr>
        <w:t>.</w:t>
      </w:r>
      <w:r w:rsidRPr="00120C22">
        <w:t xml:space="preserve"> I </w:t>
      </w:r>
      <w:r w:rsidRPr="00CC5137">
        <w:rPr>
          <w:i/>
          <w:iCs/>
        </w:rPr>
        <w:t>§ 56, stk. 3, nr. 11</w:t>
      </w:r>
      <w:r w:rsidRPr="00666CBC">
        <w:rPr>
          <w:i/>
          <w:iCs/>
        </w:rPr>
        <w:t>,</w:t>
      </w:r>
      <w:r w:rsidRPr="00120C22">
        <w:t xml:space="preserve"> ændres »den finansielle virksomheds« til: »et pengeinstituts, fondsmæglerselskabs</w:t>
      </w:r>
      <w:r>
        <w:t xml:space="preserve"> eller</w:t>
      </w:r>
      <w:r w:rsidR="00952596">
        <w:t xml:space="preserve"> </w:t>
      </w:r>
      <w:r w:rsidRPr="00120C22">
        <w:t>investeringsforvaltningsselskab</w:t>
      </w:r>
      <w:r>
        <w:t>s</w:t>
      </w:r>
      <w:r w:rsidRPr="00120C22">
        <w:t>«, og »en finansiel virksomheds« til: »et pengeinstituts, fondsmæglerselskabs</w:t>
      </w:r>
      <w:r>
        <w:t xml:space="preserve"> eller</w:t>
      </w:r>
      <w:r w:rsidRPr="00120C22">
        <w:t xml:space="preserve"> investeringsforvaltningsselskabs«</w:t>
      </w:r>
      <w:r w:rsidR="00952596">
        <w:t>.</w:t>
      </w:r>
    </w:p>
    <w:p w14:paraId="4427244D" w14:textId="77777777" w:rsidR="00F32A43" w:rsidRDefault="00F32A43" w:rsidP="00F32A43"/>
    <w:p w14:paraId="2CA866E1" w14:textId="0B1EEEF2" w:rsidR="00F32A43" w:rsidRPr="00120C22" w:rsidRDefault="00F32A43" w:rsidP="00F32A43">
      <w:r w:rsidRPr="00925E51">
        <w:rPr>
          <w:b/>
          <w:bCs/>
        </w:rPr>
        <w:t>2</w:t>
      </w:r>
      <w:r w:rsidRPr="00666CBC">
        <w:rPr>
          <w:b/>
          <w:bCs/>
        </w:rPr>
        <w:t>.</w:t>
      </w:r>
      <w:r w:rsidRPr="00120C22">
        <w:t xml:space="preserve"> I </w:t>
      </w:r>
      <w:r w:rsidRPr="00CC5137">
        <w:rPr>
          <w:i/>
          <w:iCs/>
        </w:rPr>
        <w:t xml:space="preserve">§ 56, stk. 3, nr. 14 </w:t>
      </w:r>
      <w:r w:rsidRPr="00666CBC">
        <w:t xml:space="preserve">og </w:t>
      </w:r>
      <w:r w:rsidRPr="00CC5137">
        <w:rPr>
          <w:i/>
          <w:iCs/>
        </w:rPr>
        <w:t>15</w:t>
      </w:r>
      <w:r w:rsidRPr="00666CBC">
        <w:rPr>
          <w:i/>
          <w:iCs/>
        </w:rPr>
        <w:t>,</w:t>
      </w:r>
      <w:r w:rsidRPr="00120C22">
        <w:t xml:space="preserve"> ændres »finansielle virksomheder« til: »pengeinstitutter, fondsmæglerselskaber</w:t>
      </w:r>
      <w:r>
        <w:t xml:space="preserve"> eller </w:t>
      </w:r>
      <w:r w:rsidRPr="00120C22">
        <w:t>investeringsforvaltningsselskaber«.</w:t>
      </w:r>
    </w:p>
    <w:p w14:paraId="537F9576" w14:textId="77777777" w:rsidR="00F32A43" w:rsidRDefault="00F32A43" w:rsidP="00F32A43"/>
    <w:p w14:paraId="6095B3E5" w14:textId="3CC169DE" w:rsidR="00F32A43" w:rsidRDefault="00F32A43" w:rsidP="00F32A43">
      <w:r w:rsidRPr="00925E51">
        <w:rPr>
          <w:b/>
          <w:bCs/>
        </w:rPr>
        <w:t>3.</w:t>
      </w:r>
      <w:r w:rsidRPr="00120C22">
        <w:t xml:space="preserve"> </w:t>
      </w:r>
      <w:r>
        <w:t>(Sættes ikke i kraft for Færøerne)</w:t>
      </w:r>
    </w:p>
    <w:p w14:paraId="25B3E24F" w14:textId="77777777" w:rsidR="00F32A43" w:rsidRPr="007E1CF4" w:rsidRDefault="00F32A43" w:rsidP="002C2015">
      <w:pPr>
        <w:jc w:val="left"/>
      </w:pPr>
    </w:p>
    <w:p w14:paraId="22CDDA7C" w14:textId="77777777" w:rsidR="002C2015" w:rsidRDefault="002C2015" w:rsidP="002C2015"/>
    <w:p w14:paraId="0E679850" w14:textId="7A2673D9" w:rsidR="00F418AA" w:rsidRPr="007E1CF4" w:rsidRDefault="00F418AA" w:rsidP="00F418AA">
      <w:pPr>
        <w:jc w:val="center"/>
        <w:rPr>
          <w:b/>
          <w:bCs/>
        </w:rPr>
      </w:pPr>
      <w:r w:rsidRPr="007E1CF4">
        <w:rPr>
          <w:b/>
          <w:bCs/>
        </w:rPr>
        <w:t xml:space="preserve">§ </w:t>
      </w:r>
      <w:r w:rsidR="00F32A43">
        <w:rPr>
          <w:b/>
          <w:bCs/>
        </w:rPr>
        <w:t>4</w:t>
      </w:r>
    </w:p>
    <w:p w14:paraId="374AFC8C" w14:textId="77777777" w:rsidR="00F418AA" w:rsidRDefault="00F418AA" w:rsidP="00F418AA"/>
    <w:p w14:paraId="52C74546" w14:textId="2DEA920D" w:rsidR="00F418AA" w:rsidRDefault="00F418AA" w:rsidP="00F418AA">
      <w:pPr>
        <w:jc w:val="left"/>
      </w:pPr>
      <w:r w:rsidRPr="007E1CF4">
        <w:t xml:space="preserve">I hvidvaskloven, </w:t>
      </w:r>
      <w:r>
        <w:t xml:space="preserve">som sat i kraft for Færøerne, jf. § 1, </w:t>
      </w:r>
      <w:r w:rsidRPr="007E1CF4">
        <w:t xml:space="preserve">foretages </w:t>
      </w:r>
      <w:r>
        <w:t xml:space="preserve">i medfør af § 7 i lov nr. 1163 af 8. juni 2021 </w:t>
      </w:r>
      <w:r w:rsidRPr="007E1CF4">
        <w:t>følgende ændringer:</w:t>
      </w:r>
    </w:p>
    <w:p w14:paraId="008CF833" w14:textId="77777777" w:rsidR="002C2015" w:rsidRDefault="002C2015" w:rsidP="002C2015"/>
    <w:p w14:paraId="3B1A67E9" w14:textId="77777777" w:rsidR="002C2015" w:rsidRPr="00C23AAF" w:rsidRDefault="002C2015" w:rsidP="002C2015">
      <w:r w:rsidRPr="00925E51">
        <w:rPr>
          <w:b/>
          <w:bCs/>
        </w:rPr>
        <w:t>1</w:t>
      </w:r>
      <w:r w:rsidRPr="00666CBC">
        <w:rPr>
          <w:b/>
          <w:bCs/>
        </w:rPr>
        <w:t>.</w:t>
      </w:r>
      <w:r w:rsidRPr="00C23AAF">
        <w:t xml:space="preserve"> I </w:t>
      </w:r>
      <w:r w:rsidRPr="00CC5137">
        <w:rPr>
          <w:i/>
          <w:iCs/>
        </w:rPr>
        <w:t>§ 1, stk. 1</w:t>
      </w:r>
      <w:r w:rsidRPr="00C23AAF">
        <w:t>, indsættes som nr. 25-27:</w:t>
      </w:r>
    </w:p>
    <w:p w14:paraId="7F113600" w14:textId="77777777" w:rsidR="002C2015" w:rsidRPr="00C23AAF" w:rsidRDefault="002C2015" w:rsidP="002C2015">
      <w:r w:rsidRPr="00C23AAF">
        <w:t>»25) Udbydere af veksling mellem en eller flere typer af virtuel valuta.</w:t>
      </w:r>
    </w:p>
    <w:p w14:paraId="525199EE" w14:textId="77777777" w:rsidR="002C2015" w:rsidRPr="00C23AAF" w:rsidRDefault="002C2015" w:rsidP="002C2015">
      <w:r w:rsidRPr="00C23AAF">
        <w:t>26) Udbydere af overførsel af virtuel valuta.</w:t>
      </w:r>
    </w:p>
    <w:p w14:paraId="1F8B2A16" w14:textId="77777777" w:rsidR="002C2015" w:rsidRPr="00C23AAF" w:rsidRDefault="002C2015" w:rsidP="002C2015">
      <w:r w:rsidRPr="00C23AAF">
        <w:t>27) Udstedere af virtuel valuta.«</w:t>
      </w:r>
    </w:p>
    <w:p w14:paraId="38DA53AD" w14:textId="77777777" w:rsidR="002C2015" w:rsidRDefault="002C2015" w:rsidP="002C2015"/>
    <w:p w14:paraId="2AC8EAD7" w14:textId="63074D14" w:rsidR="002C2015" w:rsidRPr="00C23AAF" w:rsidRDefault="002C2015" w:rsidP="002C2015">
      <w:r w:rsidRPr="00925E51">
        <w:rPr>
          <w:b/>
          <w:bCs/>
        </w:rPr>
        <w:t>2</w:t>
      </w:r>
      <w:r w:rsidRPr="00666CBC">
        <w:rPr>
          <w:b/>
          <w:bCs/>
        </w:rPr>
        <w:t>.</w:t>
      </w:r>
      <w:r w:rsidRPr="00C23AAF">
        <w:t xml:space="preserve"> </w:t>
      </w:r>
      <w:r w:rsidR="00F418AA">
        <w:t>(Sættes ikke i kraft for Færøerne)</w:t>
      </w:r>
    </w:p>
    <w:p w14:paraId="78E60F85" w14:textId="77777777" w:rsidR="002C2015" w:rsidRDefault="002C2015" w:rsidP="002C2015"/>
    <w:p w14:paraId="2CEE6438" w14:textId="77777777" w:rsidR="002C2015" w:rsidRPr="00C23AAF" w:rsidRDefault="002C2015" w:rsidP="002C2015">
      <w:r w:rsidRPr="00925E51">
        <w:rPr>
          <w:b/>
          <w:bCs/>
        </w:rPr>
        <w:t>3</w:t>
      </w:r>
      <w:r w:rsidRPr="00666CBC">
        <w:rPr>
          <w:b/>
          <w:bCs/>
        </w:rPr>
        <w:t>.</w:t>
      </w:r>
      <w:r w:rsidRPr="00C23AAF">
        <w:t xml:space="preserve"> I </w:t>
      </w:r>
      <w:r w:rsidRPr="00CC5137">
        <w:rPr>
          <w:i/>
          <w:iCs/>
        </w:rPr>
        <w:t>§ 7, stk. 2, 1. pkt.,</w:t>
      </w:r>
      <w:r w:rsidRPr="00C23AAF">
        <w:t xml:space="preserve"> ændres », 23 og 24,« til: »og 23-27,«.</w:t>
      </w:r>
    </w:p>
    <w:p w14:paraId="50877868" w14:textId="77777777" w:rsidR="002C2015" w:rsidRDefault="002C2015" w:rsidP="002C2015"/>
    <w:p w14:paraId="7823133B" w14:textId="77777777" w:rsidR="002C2015" w:rsidRPr="00C23AAF" w:rsidRDefault="002C2015" w:rsidP="002C2015">
      <w:r w:rsidRPr="00925E51">
        <w:rPr>
          <w:b/>
          <w:bCs/>
        </w:rPr>
        <w:t>4.</w:t>
      </w:r>
      <w:r w:rsidRPr="00C23AAF">
        <w:t xml:space="preserve"> I </w:t>
      </w:r>
      <w:r w:rsidRPr="00CC5137">
        <w:rPr>
          <w:i/>
          <w:iCs/>
        </w:rPr>
        <w:t xml:space="preserve">§ 10, nr. 2, litra </w:t>
      </w:r>
      <w:r w:rsidRPr="00C45ABB">
        <w:rPr>
          <w:i/>
          <w:iCs/>
        </w:rPr>
        <w:t>b</w:t>
      </w:r>
      <w:r w:rsidRPr="00666CBC">
        <w:rPr>
          <w:i/>
          <w:iCs/>
        </w:rPr>
        <w:t>,</w:t>
      </w:r>
      <w:r w:rsidRPr="00C23AAF">
        <w:t xml:space="preserve"> ændres », eller« til: »,«, og i litra c indsættes efter »forbundet,«: »eller«.</w:t>
      </w:r>
    </w:p>
    <w:p w14:paraId="74A5BC63" w14:textId="77777777" w:rsidR="002C2015" w:rsidRDefault="002C2015" w:rsidP="002C2015"/>
    <w:p w14:paraId="153908D8" w14:textId="77777777" w:rsidR="002C2015" w:rsidRPr="00C23AAF" w:rsidRDefault="002C2015" w:rsidP="002C2015">
      <w:r w:rsidRPr="00925E51">
        <w:rPr>
          <w:b/>
          <w:bCs/>
        </w:rPr>
        <w:t>5</w:t>
      </w:r>
      <w:r w:rsidRPr="00666CBC">
        <w:rPr>
          <w:b/>
          <w:bCs/>
        </w:rPr>
        <w:t>.</w:t>
      </w:r>
      <w:r w:rsidRPr="00C23AAF">
        <w:t xml:space="preserve"> I </w:t>
      </w:r>
      <w:r w:rsidRPr="00CC5137">
        <w:rPr>
          <w:i/>
          <w:iCs/>
        </w:rPr>
        <w:t>§ 10, nr. 2, litra c</w:t>
      </w:r>
      <w:r w:rsidRPr="00666CBC">
        <w:rPr>
          <w:i/>
          <w:iCs/>
        </w:rPr>
        <w:t>,</w:t>
      </w:r>
      <w:r w:rsidRPr="00C23AAF">
        <w:t xml:space="preserve"> indsættes efter »valutaveksling,«: »herunder veksling mellem virtuel valuta og fiatvaluta,«.</w:t>
      </w:r>
    </w:p>
    <w:p w14:paraId="48150914" w14:textId="77777777" w:rsidR="002C2015" w:rsidRDefault="002C2015" w:rsidP="002C2015"/>
    <w:p w14:paraId="6A0A3076" w14:textId="77777777" w:rsidR="002C2015" w:rsidRPr="00C23AAF" w:rsidRDefault="002C2015" w:rsidP="002C2015">
      <w:r w:rsidRPr="00925E51">
        <w:rPr>
          <w:b/>
          <w:bCs/>
        </w:rPr>
        <w:t>6</w:t>
      </w:r>
      <w:r w:rsidRPr="00666CBC">
        <w:rPr>
          <w:b/>
          <w:bCs/>
        </w:rPr>
        <w:t>.</w:t>
      </w:r>
      <w:r w:rsidRPr="00C23AAF">
        <w:t xml:space="preserve"> I </w:t>
      </w:r>
      <w:r w:rsidRPr="00CC5137">
        <w:rPr>
          <w:i/>
          <w:iCs/>
        </w:rPr>
        <w:t>§ 10, nr. 2</w:t>
      </w:r>
      <w:r w:rsidRPr="00666CBC">
        <w:rPr>
          <w:i/>
          <w:iCs/>
        </w:rPr>
        <w:t>,</w:t>
      </w:r>
      <w:r w:rsidRPr="00C23AAF">
        <w:t xml:space="preserve"> indsættes som litra d:</w:t>
      </w:r>
    </w:p>
    <w:p w14:paraId="23F203CC" w14:textId="77777777" w:rsidR="002C2015" w:rsidRPr="00C23AAF" w:rsidRDefault="002C2015" w:rsidP="002C2015">
      <w:r w:rsidRPr="00C23AAF">
        <w:t>»d) 1.000 euro eller derover ved veksling mellem en eller flere typer af virtuel valuta, overførsel af virtuel valuta eller udstedelse af virtuel valuta, hvad enten transaktionen sker på én gang eller som flere transaktioner, der er eller ser ud til at være indbyrdes forbundet,«</w:t>
      </w:r>
    </w:p>
    <w:p w14:paraId="1688764A" w14:textId="77777777" w:rsidR="002C2015" w:rsidRDefault="002C2015" w:rsidP="002C2015"/>
    <w:p w14:paraId="0C2EABCF" w14:textId="77777777" w:rsidR="002C2015" w:rsidRPr="00C23AAF" w:rsidRDefault="002C2015" w:rsidP="002C2015">
      <w:r w:rsidRPr="00925E51">
        <w:rPr>
          <w:b/>
          <w:bCs/>
        </w:rPr>
        <w:lastRenderedPageBreak/>
        <w:t>7.</w:t>
      </w:r>
      <w:r w:rsidRPr="00C23AAF">
        <w:t xml:space="preserve"> I </w:t>
      </w:r>
      <w:r w:rsidRPr="00CC5137">
        <w:rPr>
          <w:i/>
          <w:iCs/>
        </w:rPr>
        <w:t>§ 38, stk. 3</w:t>
      </w:r>
      <w:r w:rsidRPr="00666CBC">
        <w:rPr>
          <w:i/>
          <w:iCs/>
        </w:rPr>
        <w:t>,</w:t>
      </w:r>
      <w:r w:rsidRPr="00C23AAF">
        <w:t xml:space="preserve"> ændres », 23 eller 24,« til: »eller 23-27,«.</w:t>
      </w:r>
    </w:p>
    <w:p w14:paraId="7581DD24" w14:textId="77777777" w:rsidR="002C2015" w:rsidRDefault="002C2015" w:rsidP="002C2015"/>
    <w:p w14:paraId="120DB015" w14:textId="77777777" w:rsidR="002C2015" w:rsidRPr="00C23AAF" w:rsidRDefault="002C2015" w:rsidP="002C2015">
      <w:r w:rsidRPr="00925E51">
        <w:rPr>
          <w:b/>
          <w:bCs/>
        </w:rPr>
        <w:t>8.</w:t>
      </w:r>
      <w:r w:rsidRPr="00C23AAF">
        <w:t xml:space="preserve"> I </w:t>
      </w:r>
      <w:r w:rsidRPr="00CC5137">
        <w:rPr>
          <w:i/>
          <w:iCs/>
        </w:rPr>
        <w:t>§ 38, stk. 6</w:t>
      </w:r>
      <w:r w:rsidRPr="00666CBC">
        <w:rPr>
          <w:i/>
          <w:iCs/>
        </w:rPr>
        <w:t>,</w:t>
      </w:r>
      <w:r w:rsidRPr="00C23AAF">
        <w:t xml:space="preserve"> ændres », 23 og 24,« til: »og 23-27,«.</w:t>
      </w:r>
    </w:p>
    <w:p w14:paraId="3228CECD" w14:textId="77777777" w:rsidR="002C2015" w:rsidRDefault="002C2015" w:rsidP="002C2015"/>
    <w:p w14:paraId="629258A6" w14:textId="77777777" w:rsidR="002C2015" w:rsidRPr="00C23AAF" w:rsidRDefault="002C2015" w:rsidP="002C2015">
      <w:r w:rsidRPr="00925E51">
        <w:rPr>
          <w:b/>
          <w:bCs/>
        </w:rPr>
        <w:t>9</w:t>
      </w:r>
      <w:r w:rsidRPr="00666CBC">
        <w:rPr>
          <w:b/>
          <w:bCs/>
        </w:rPr>
        <w:t>.</w:t>
      </w:r>
      <w:r w:rsidRPr="00C23AAF">
        <w:t xml:space="preserve"> I </w:t>
      </w:r>
      <w:r w:rsidRPr="00CC5137">
        <w:rPr>
          <w:i/>
          <w:iCs/>
        </w:rPr>
        <w:t>§ 47, stk. 1, 1. pkt., § 49, stk. 1, 1. pkt., § 51, § 51 a, stk. 1, § 51 b, stk. 1, 1. pkt., § 53 og § 54, stk. 1 og 2</w:t>
      </w:r>
      <w:r w:rsidRPr="00666CBC">
        <w:rPr>
          <w:i/>
          <w:iCs/>
        </w:rPr>
        <w:t>,</w:t>
      </w:r>
      <w:r w:rsidRPr="00C23AAF">
        <w:t xml:space="preserve"> ændres », 23 og 24,« til: »og 23-27,«.</w:t>
      </w:r>
    </w:p>
    <w:p w14:paraId="235FD1C4" w14:textId="77777777" w:rsidR="002C2015" w:rsidRDefault="002C2015" w:rsidP="002C2015"/>
    <w:p w14:paraId="2DFF108A" w14:textId="2A24D388" w:rsidR="002C2015" w:rsidRPr="00C23AAF" w:rsidRDefault="002C2015" w:rsidP="002C2015">
      <w:r w:rsidRPr="00925E51">
        <w:rPr>
          <w:b/>
          <w:bCs/>
        </w:rPr>
        <w:t>10</w:t>
      </w:r>
      <w:r w:rsidRPr="00666CBC">
        <w:rPr>
          <w:b/>
          <w:bCs/>
        </w:rPr>
        <w:t>.</w:t>
      </w:r>
      <w:r w:rsidRPr="00C23AAF">
        <w:t xml:space="preserve"> </w:t>
      </w:r>
      <w:r w:rsidR="00F418AA">
        <w:t>(Sættes ikke i kraft for Færøerne)</w:t>
      </w:r>
    </w:p>
    <w:p w14:paraId="2D2A4AC9" w14:textId="77777777" w:rsidR="002C2015" w:rsidRDefault="002C2015" w:rsidP="002C2015"/>
    <w:p w14:paraId="4A83D3E4" w14:textId="77777777" w:rsidR="002C2015" w:rsidRPr="00C23AAF" w:rsidRDefault="002C2015" w:rsidP="002C2015">
      <w:r w:rsidRPr="00925E51">
        <w:rPr>
          <w:b/>
          <w:bCs/>
        </w:rPr>
        <w:t>11</w:t>
      </w:r>
      <w:r w:rsidRPr="00666CBC">
        <w:rPr>
          <w:b/>
          <w:bCs/>
        </w:rPr>
        <w:t xml:space="preserve">. </w:t>
      </w:r>
      <w:r w:rsidRPr="00C23AAF">
        <w:t xml:space="preserve">I </w:t>
      </w:r>
      <w:r w:rsidRPr="00CC5137">
        <w:rPr>
          <w:i/>
          <w:iCs/>
        </w:rPr>
        <w:t>§ 48, stk. 2</w:t>
      </w:r>
      <w:r w:rsidRPr="00666CBC">
        <w:rPr>
          <w:i/>
          <w:iCs/>
        </w:rPr>
        <w:t xml:space="preserve">, </w:t>
      </w:r>
      <w:r w:rsidRPr="00C23AAF">
        <w:t>ændres »23 og 24,« til: »23-27,«.</w:t>
      </w:r>
    </w:p>
    <w:p w14:paraId="3E64A79F" w14:textId="77777777" w:rsidR="002C2015" w:rsidRDefault="002C2015" w:rsidP="002C2015"/>
    <w:p w14:paraId="367F57C7" w14:textId="77777777" w:rsidR="002C2015" w:rsidRPr="00C23AAF" w:rsidRDefault="002C2015" w:rsidP="002C2015">
      <w:r w:rsidRPr="00925E51">
        <w:rPr>
          <w:b/>
          <w:bCs/>
        </w:rPr>
        <w:t>12</w:t>
      </w:r>
      <w:r w:rsidRPr="00666CBC">
        <w:rPr>
          <w:b/>
          <w:bCs/>
        </w:rPr>
        <w:t xml:space="preserve">. </w:t>
      </w:r>
      <w:r w:rsidRPr="00C23AAF">
        <w:t xml:space="preserve">I </w:t>
      </w:r>
      <w:r w:rsidRPr="00CC5137">
        <w:rPr>
          <w:i/>
          <w:iCs/>
        </w:rPr>
        <w:t>§ 52</w:t>
      </w:r>
      <w:r w:rsidRPr="00C23AAF">
        <w:t xml:space="preserve"> ændres », 23 og 24, « til: »og 23-27,«.</w:t>
      </w:r>
    </w:p>
    <w:p w14:paraId="4E573F0A" w14:textId="77777777" w:rsidR="002C2015" w:rsidRDefault="002C2015" w:rsidP="002C2015"/>
    <w:p w14:paraId="041A42FF" w14:textId="77777777" w:rsidR="002C2015" w:rsidRPr="00C23AAF" w:rsidRDefault="002C2015" w:rsidP="002C2015">
      <w:r w:rsidRPr="00925E51">
        <w:rPr>
          <w:b/>
          <w:bCs/>
        </w:rPr>
        <w:t>13</w:t>
      </w:r>
      <w:r w:rsidRPr="00666CBC">
        <w:rPr>
          <w:b/>
          <w:bCs/>
        </w:rPr>
        <w:t xml:space="preserve">. </w:t>
      </w:r>
      <w:r w:rsidRPr="00C23AAF">
        <w:t xml:space="preserve">I </w:t>
      </w:r>
      <w:r w:rsidRPr="00CC5137">
        <w:rPr>
          <w:i/>
          <w:iCs/>
        </w:rPr>
        <w:t>§ 55, stk. 1, 1. pkt</w:t>
      </w:r>
      <w:r w:rsidRPr="00C23AAF">
        <w:t>.</w:t>
      </w:r>
      <w:r w:rsidRPr="00666CBC">
        <w:rPr>
          <w:i/>
          <w:iCs/>
        </w:rPr>
        <w:t>,</w:t>
      </w:r>
      <w:r w:rsidRPr="00C23AAF">
        <w:t xml:space="preserve"> ændres »eller § 51« til: »§ 51 eller § 51 b«.</w:t>
      </w:r>
    </w:p>
    <w:p w14:paraId="7E88D460" w14:textId="77777777" w:rsidR="002C2015" w:rsidRDefault="002C2015" w:rsidP="002C2015"/>
    <w:p w14:paraId="6248595D" w14:textId="77777777" w:rsidR="002C2015" w:rsidRPr="00C23AAF" w:rsidRDefault="002C2015" w:rsidP="002C2015">
      <w:r w:rsidRPr="00925E51">
        <w:rPr>
          <w:b/>
          <w:bCs/>
        </w:rPr>
        <w:t>14.</w:t>
      </w:r>
      <w:r w:rsidRPr="00C23AAF">
        <w:t xml:space="preserve"> I </w:t>
      </w:r>
      <w:r w:rsidRPr="00CC5137">
        <w:rPr>
          <w:i/>
          <w:iCs/>
        </w:rPr>
        <w:t>§ 55, stk. 2, 1. pkt.,</w:t>
      </w:r>
      <w:r w:rsidRPr="00C23AAF">
        <w:t xml:space="preserve"> indsættes efter »i«: »mindst«.</w:t>
      </w:r>
    </w:p>
    <w:p w14:paraId="0C99339C" w14:textId="77777777" w:rsidR="002C2015" w:rsidRDefault="002C2015" w:rsidP="002C2015"/>
    <w:p w14:paraId="6C5D8D95" w14:textId="27DD0A3A" w:rsidR="002C2015" w:rsidRPr="00C23AAF" w:rsidRDefault="002C2015" w:rsidP="002C2015">
      <w:r w:rsidRPr="00925E51">
        <w:rPr>
          <w:b/>
          <w:bCs/>
        </w:rPr>
        <w:t>15</w:t>
      </w:r>
      <w:r w:rsidRPr="00666CBC">
        <w:rPr>
          <w:b/>
          <w:bCs/>
        </w:rPr>
        <w:t xml:space="preserve">. </w:t>
      </w:r>
      <w:r w:rsidRPr="00C23AAF">
        <w:t xml:space="preserve">I </w:t>
      </w:r>
      <w:r w:rsidRPr="00CC5137">
        <w:rPr>
          <w:i/>
          <w:iCs/>
        </w:rPr>
        <w:t>§ 78, stk. 1, 2. pkt.,</w:t>
      </w:r>
      <w:r w:rsidRPr="00C23AAF">
        <w:t xml:space="preserve"> indsættes efter »§ 49, stk. 1«: »og 2«</w:t>
      </w:r>
      <w:r w:rsidR="00C45ABB">
        <w:t>.</w:t>
      </w:r>
    </w:p>
    <w:p w14:paraId="5C0D89E2" w14:textId="77777777" w:rsidR="002C2015" w:rsidRPr="00C23AAF" w:rsidRDefault="002C2015" w:rsidP="002C2015">
      <w:pPr>
        <w:rPr>
          <w:b/>
          <w:bCs/>
        </w:rPr>
      </w:pPr>
    </w:p>
    <w:p w14:paraId="0E6F8D94" w14:textId="77777777" w:rsidR="002C2015" w:rsidRDefault="002C2015" w:rsidP="002C2015">
      <w:pPr>
        <w:rPr>
          <w:b/>
          <w:bCs/>
        </w:rPr>
      </w:pPr>
    </w:p>
    <w:p w14:paraId="4B77F64D" w14:textId="77777777" w:rsidR="002C2015" w:rsidRDefault="002C2015" w:rsidP="002C2015"/>
    <w:p w14:paraId="5430D13F" w14:textId="77777777" w:rsidR="002C2015" w:rsidRDefault="002C2015" w:rsidP="002C2015">
      <w:pPr>
        <w:jc w:val="center"/>
        <w:rPr>
          <w:b/>
          <w:bCs/>
        </w:rPr>
      </w:pPr>
    </w:p>
    <w:p w14:paraId="2E12C7ED" w14:textId="77777777" w:rsidR="008A0E14" w:rsidRPr="007E1CF4" w:rsidRDefault="008A0E14" w:rsidP="008A0E14">
      <w:pPr>
        <w:jc w:val="center"/>
        <w:rPr>
          <w:b/>
          <w:bCs/>
        </w:rPr>
      </w:pPr>
      <w:r w:rsidRPr="007E1CF4">
        <w:rPr>
          <w:b/>
          <w:bCs/>
        </w:rPr>
        <w:t xml:space="preserve">§ </w:t>
      </w:r>
      <w:r>
        <w:rPr>
          <w:b/>
          <w:bCs/>
        </w:rPr>
        <w:t>5</w:t>
      </w:r>
    </w:p>
    <w:p w14:paraId="218C8A25" w14:textId="77777777" w:rsidR="008A0E14" w:rsidRDefault="008A0E14" w:rsidP="008A0E14">
      <w:pPr>
        <w:rPr>
          <w:b/>
          <w:bCs/>
        </w:rPr>
      </w:pPr>
    </w:p>
    <w:p w14:paraId="279C6604" w14:textId="07047EDD" w:rsidR="008A0E14" w:rsidRDefault="008A0E14" w:rsidP="008A0E14">
      <w:pPr>
        <w:jc w:val="left"/>
      </w:pPr>
      <w:r w:rsidRPr="007E1CF4">
        <w:t xml:space="preserve">I hvidvaskloven, </w:t>
      </w:r>
      <w:r>
        <w:t xml:space="preserve">som sat i kraft for Færøerne, jf. § 1, </w:t>
      </w:r>
      <w:r w:rsidRPr="007E1CF4">
        <w:t xml:space="preserve">foretages </w:t>
      </w:r>
      <w:r>
        <w:t xml:space="preserve">i medfør af § 5 i lov nr. 2382 af 14. december 2021 </w:t>
      </w:r>
      <w:r w:rsidRPr="007E1CF4">
        <w:t>følgende ændringer:</w:t>
      </w:r>
    </w:p>
    <w:p w14:paraId="730020DD" w14:textId="5362CA1B" w:rsidR="002C2015" w:rsidRDefault="002C2015" w:rsidP="002C2015">
      <w:pPr>
        <w:jc w:val="left"/>
      </w:pPr>
    </w:p>
    <w:p w14:paraId="66F9BF63" w14:textId="77777777" w:rsidR="002C2015" w:rsidRDefault="002C2015" w:rsidP="002C2015">
      <w:pPr>
        <w:jc w:val="left"/>
      </w:pPr>
    </w:p>
    <w:p w14:paraId="16301D26" w14:textId="77777777" w:rsidR="002C2015" w:rsidRDefault="002C2015" w:rsidP="002C2015">
      <w:pPr>
        <w:jc w:val="left"/>
      </w:pPr>
      <w:r w:rsidRPr="00925E51">
        <w:rPr>
          <w:b/>
          <w:bCs/>
        </w:rPr>
        <w:t>1</w:t>
      </w:r>
      <w:r w:rsidRPr="00666CBC">
        <w:rPr>
          <w:b/>
          <w:bCs/>
        </w:rPr>
        <w:t>.</w:t>
      </w:r>
      <w:r>
        <w:t xml:space="preserve"> I </w:t>
      </w:r>
      <w:r w:rsidRPr="00CC5137">
        <w:rPr>
          <w:i/>
          <w:iCs/>
        </w:rPr>
        <w:t>§ 1, stk. 1,</w:t>
      </w:r>
      <w:r>
        <w:t xml:space="preserve"> indsættes efter »følgende virksomheder og personer«: », herunder filialer, distributører og agenter af disse her i landet«.</w:t>
      </w:r>
    </w:p>
    <w:p w14:paraId="4EDAE8A9" w14:textId="77777777" w:rsidR="002C2015" w:rsidRDefault="002C2015" w:rsidP="002C2015">
      <w:pPr>
        <w:jc w:val="left"/>
      </w:pPr>
    </w:p>
    <w:p w14:paraId="3F1C7B87" w14:textId="77777777" w:rsidR="002C2015" w:rsidRDefault="002C2015" w:rsidP="002C2015">
      <w:pPr>
        <w:jc w:val="left"/>
      </w:pPr>
      <w:r w:rsidRPr="00925E51">
        <w:rPr>
          <w:b/>
          <w:bCs/>
        </w:rPr>
        <w:t>2.</w:t>
      </w:r>
      <w:r>
        <w:t xml:space="preserve"> </w:t>
      </w:r>
      <w:r w:rsidRPr="00CC5137">
        <w:rPr>
          <w:i/>
          <w:iCs/>
        </w:rPr>
        <w:t>§ 1, stk. 1, nr. 9</w:t>
      </w:r>
      <w:r w:rsidRPr="00666CBC">
        <w:rPr>
          <w:i/>
          <w:iCs/>
        </w:rPr>
        <w:t>,</w:t>
      </w:r>
      <w:r>
        <w:t xml:space="preserve"> ophæves.</w:t>
      </w:r>
    </w:p>
    <w:p w14:paraId="42BBC59B" w14:textId="143A4F00" w:rsidR="002C2015" w:rsidRDefault="002C2015" w:rsidP="002C2015">
      <w:pPr>
        <w:jc w:val="left"/>
      </w:pPr>
      <w:r>
        <w:t>Nr. 10</w:t>
      </w:r>
      <w:r w:rsidR="008A0E14">
        <w:t>, 11, 14, 17, 19-21</w:t>
      </w:r>
      <w:r w:rsidR="0012578D">
        <w:t xml:space="preserve"> </w:t>
      </w:r>
      <w:r w:rsidR="00E825E1">
        <w:t>og</w:t>
      </w:r>
      <w:r w:rsidR="00F97A45">
        <w:t xml:space="preserve"> </w:t>
      </w:r>
      <w:r w:rsidR="008A0E14">
        <w:t>23</w:t>
      </w:r>
      <w:r w:rsidR="00E825E1">
        <w:t>-</w:t>
      </w:r>
      <w:r>
        <w:t>27 bliver herefter nr. 9</w:t>
      </w:r>
      <w:r w:rsidR="008A0E14">
        <w:t>, 10, 13, 16, 18-20</w:t>
      </w:r>
      <w:r w:rsidR="00E825E1">
        <w:t xml:space="preserve"> og</w:t>
      </w:r>
      <w:r w:rsidR="008A0E14">
        <w:t xml:space="preserve"> 22</w:t>
      </w:r>
      <w:r>
        <w:t>-26.</w:t>
      </w:r>
    </w:p>
    <w:p w14:paraId="3898A3CD" w14:textId="77777777" w:rsidR="002C2015" w:rsidRDefault="002C2015" w:rsidP="002C2015">
      <w:pPr>
        <w:jc w:val="left"/>
      </w:pPr>
    </w:p>
    <w:p w14:paraId="52D0B6CE" w14:textId="2FBCAFC1" w:rsidR="002C2015" w:rsidRDefault="002C2015" w:rsidP="002C2015">
      <w:pPr>
        <w:jc w:val="left"/>
      </w:pPr>
      <w:r w:rsidRPr="00925E51">
        <w:rPr>
          <w:b/>
          <w:bCs/>
        </w:rPr>
        <w:t>3.</w:t>
      </w:r>
      <w:r>
        <w:t xml:space="preserve"> I </w:t>
      </w:r>
      <w:r w:rsidRPr="00CC5137">
        <w:rPr>
          <w:i/>
          <w:iCs/>
        </w:rPr>
        <w:t xml:space="preserve">§ 1, stk. 1, nr. 17, </w:t>
      </w:r>
      <w:r w:rsidRPr="00CC5137">
        <w:t>og</w:t>
      </w:r>
      <w:r w:rsidRPr="00CC5137">
        <w:rPr>
          <w:i/>
          <w:iCs/>
        </w:rPr>
        <w:t xml:space="preserve"> § 2, nr. 12</w:t>
      </w:r>
      <w:r w:rsidRPr="00666CBC">
        <w:rPr>
          <w:i/>
          <w:iCs/>
        </w:rPr>
        <w:t xml:space="preserve">, </w:t>
      </w:r>
      <w:r>
        <w:t>ændres »nr. 14« til: »nr. 13«.</w:t>
      </w:r>
    </w:p>
    <w:p w14:paraId="2C01D3AE" w14:textId="77777777" w:rsidR="002C2015" w:rsidRDefault="002C2015" w:rsidP="002C2015">
      <w:pPr>
        <w:jc w:val="left"/>
      </w:pPr>
    </w:p>
    <w:p w14:paraId="5D2281B1" w14:textId="77777777" w:rsidR="002C2015" w:rsidRDefault="002C2015" w:rsidP="002C2015">
      <w:pPr>
        <w:jc w:val="left"/>
      </w:pPr>
      <w:r w:rsidRPr="00925E51">
        <w:rPr>
          <w:b/>
          <w:bCs/>
        </w:rPr>
        <w:t>4</w:t>
      </w:r>
      <w:r w:rsidRPr="00666CBC">
        <w:rPr>
          <w:b/>
          <w:bCs/>
        </w:rPr>
        <w:t>.</w:t>
      </w:r>
      <w:r>
        <w:t xml:space="preserve"> I </w:t>
      </w:r>
      <w:r w:rsidRPr="00CC5137">
        <w:rPr>
          <w:i/>
          <w:iCs/>
        </w:rPr>
        <w:t>§ 1, stk. 6</w:t>
      </w:r>
      <w:r w:rsidRPr="00666CBC">
        <w:rPr>
          <w:i/>
          <w:iCs/>
        </w:rPr>
        <w:t xml:space="preserve">, </w:t>
      </w:r>
      <w:r>
        <w:t>ændres »19« til: »18«.</w:t>
      </w:r>
    </w:p>
    <w:p w14:paraId="0FD64815" w14:textId="77777777" w:rsidR="002C2015" w:rsidRDefault="002C2015" w:rsidP="002C2015">
      <w:pPr>
        <w:jc w:val="left"/>
      </w:pPr>
    </w:p>
    <w:p w14:paraId="2A980CDF" w14:textId="1E759429" w:rsidR="002C2015" w:rsidRDefault="002C2015" w:rsidP="002C2015">
      <w:pPr>
        <w:jc w:val="left"/>
      </w:pPr>
      <w:r w:rsidRPr="00925E51">
        <w:rPr>
          <w:b/>
          <w:bCs/>
        </w:rPr>
        <w:t>5</w:t>
      </w:r>
      <w:r w:rsidRPr="00666CBC">
        <w:rPr>
          <w:b/>
          <w:bCs/>
        </w:rPr>
        <w:t>.</w:t>
      </w:r>
      <w:r>
        <w:t xml:space="preserve"> To steder i § 2, nr. 4, litra b, ændres »nr. 1</w:t>
      </w:r>
      <w:r w:rsidR="005361F2">
        <w:t>, 3, 5-6, 8-11</w:t>
      </w:r>
      <w:r>
        <w:t xml:space="preserve"> eller 19« til: »nr. 1</w:t>
      </w:r>
      <w:r w:rsidR="005361F2">
        <w:t>, 3, 5</w:t>
      </w:r>
      <w:r w:rsidR="00220B76">
        <w:t xml:space="preserve">, </w:t>
      </w:r>
      <w:r w:rsidR="005361F2">
        <w:t>6, 8</w:t>
      </w:r>
      <w:r>
        <w:t>-1</w:t>
      </w:r>
      <w:r w:rsidR="005361F2">
        <w:t>0</w:t>
      </w:r>
      <w:r>
        <w:t xml:space="preserve"> eller 18«.</w:t>
      </w:r>
    </w:p>
    <w:p w14:paraId="2632862E" w14:textId="77777777" w:rsidR="002C2015" w:rsidRDefault="002C2015" w:rsidP="002C2015">
      <w:pPr>
        <w:jc w:val="left"/>
      </w:pPr>
    </w:p>
    <w:p w14:paraId="7B524AE7" w14:textId="1FC1BD91" w:rsidR="002C2015" w:rsidRDefault="002C2015" w:rsidP="002C2015">
      <w:pPr>
        <w:jc w:val="left"/>
      </w:pPr>
      <w:r w:rsidRPr="00925E51">
        <w:rPr>
          <w:b/>
          <w:bCs/>
        </w:rPr>
        <w:t>6</w:t>
      </w:r>
      <w:r w:rsidRPr="00666CBC">
        <w:rPr>
          <w:b/>
          <w:bCs/>
        </w:rPr>
        <w:t>.</w:t>
      </w:r>
      <w:r>
        <w:t xml:space="preserve"> I </w:t>
      </w:r>
      <w:r w:rsidRPr="00CC5137">
        <w:rPr>
          <w:i/>
          <w:iCs/>
        </w:rPr>
        <w:t>§ 2, nr. 11</w:t>
      </w:r>
      <w:r w:rsidRPr="00666CBC">
        <w:rPr>
          <w:i/>
          <w:iCs/>
        </w:rPr>
        <w:t xml:space="preserve">, </w:t>
      </w:r>
      <w:r>
        <w:t>ændres »nr. 1</w:t>
      </w:r>
      <w:r w:rsidR="005361F2">
        <w:t>, 3, 5-6, 8</w:t>
      </w:r>
      <w:r>
        <w:t>-11 og 19« til: »nr. 1</w:t>
      </w:r>
      <w:r w:rsidR="005361F2">
        <w:t>, 3, 5</w:t>
      </w:r>
      <w:r w:rsidR="00220B76">
        <w:t xml:space="preserve">, </w:t>
      </w:r>
      <w:r w:rsidR="005361F2">
        <w:t>6, 8</w:t>
      </w:r>
      <w:r>
        <w:t>-10 eller 18«.</w:t>
      </w:r>
    </w:p>
    <w:p w14:paraId="1F1088F7" w14:textId="77777777" w:rsidR="002C2015" w:rsidRDefault="002C2015" w:rsidP="002C2015">
      <w:pPr>
        <w:jc w:val="left"/>
      </w:pPr>
    </w:p>
    <w:p w14:paraId="586327BF" w14:textId="03880FFA" w:rsidR="002C2015" w:rsidRDefault="002C2015" w:rsidP="002C2015">
      <w:pPr>
        <w:jc w:val="left"/>
      </w:pPr>
      <w:r w:rsidRPr="00925E51">
        <w:rPr>
          <w:b/>
          <w:bCs/>
        </w:rPr>
        <w:t>7</w:t>
      </w:r>
      <w:r w:rsidRPr="00666CBC">
        <w:rPr>
          <w:b/>
          <w:bCs/>
        </w:rPr>
        <w:t>.</w:t>
      </w:r>
      <w:r>
        <w:t xml:space="preserve"> I </w:t>
      </w:r>
      <w:r w:rsidRPr="00CC5137">
        <w:rPr>
          <w:i/>
          <w:iCs/>
        </w:rPr>
        <w:t>§ 7, stk. 2, 1. pkt.,</w:t>
      </w:r>
      <w:r>
        <w:t xml:space="preserve"> ændres »10</w:t>
      </w:r>
      <w:r w:rsidR="005361F2">
        <w:t>-</w:t>
      </w:r>
      <w:r>
        <w:t>11, 19 og 23-27« til: »9</w:t>
      </w:r>
      <w:r w:rsidR="00893E3A">
        <w:t xml:space="preserve">, </w:t>
      </w:r>
      <w:r>
        <w:t>10, 18 og 22-26, dog ikke disses filialer, distributører og agenter her i landet«.</w:t>
      </w:r>
    </w:p>
    <w:p w14:paraId="6EF8B72E" w14:textId="77777777" w:rsidR="002C2015" w:rsidRDefault="002C2015" w:rsidP="002C2015">
      <w:pPr>
        <w:jc w:val="left"/>
      </w:pPr>
    </w:p>
    <w:p w14:paraId="56985606" w14:textId="77777777" w:rsidR="002C2015" w:rsidRDefault="002C2015" w:rsidP="002C2015">
      <w:pPr>
        <w:jc w:val="left"/>
      </w:pPr>
      <w:r w:rsidRPr="00925E51">
        <w:rPr>
          <w:b/>
          <w:bCs/>
        </w:rPr>
        <w:t>8.</w:t>
      </w:r>
      <w:r>
        <w:t xml:space="preserve"> I </w:t>
      </w:r>
      <w:r w:rsidRPr="00CC5137">
        <w:rPr>
          <w:i/>
          <w:iCs/>
        </w:rPr>
        <w:t>§ 7, stk. 3, 2. pkt</w:t>
      </w:r>
      <w:r>
        <w:t>.</w:t>
      </w:r>
      <w:r w:rsidRPr="00666CBC">
        <w:rPr>
          <w:i/>
          <w:iCs/>
        </w:rPr>
        <w:t xml:space="preserve">, </w:t>
      </w:r>
      <w:r>
        <w:t>ændres »nr. 14« til: »nr. 13«.</w:t>
      </w:r>
    </w:p>
    <w:p w14:paraId="2D28F6D4" w14:textId="77777777" w:rsidR="002C2015" w:rsidRDefault="002C2015" w:rsidP="002C2015">
      <w:pPr>
        <w:jc w:val="left"/>
      </w:pPr>
    </w:p>
    <w:p w14:paraId="1791E3E8" w14:textId="55AE49B8" w:rsidR="002C2015" w:rsidRDefault="002C2015" w:rsidP="002C2015">
      <w:pPr>
        <w:jc w:val="left"/>
      </w:pPr>
      <w:r w:rsidRPr="00925E51">
        <w:rPr>
          <w:b/>
          <w:bCs/>
        </w:rPr>
        <w:lastRenderedPageBreak/>
        <w:t>9</w:t>
      </w:r>
      <w:r w:rsidRPr="00666CBC">
        <w:rPr>
          <w:b/>
          <w:bCs/>
        </w:rPr>
        <w:t>.</w:t>
      </w:r>
      <w:r>
        <w:t xml:space="preserve"> I </w:t>
      </w:r>
      <w:r w:rsidRPr="00CC5137">
        <w:rPr>
          <w:i/>
          <w:iCs/>
        </w:rPr>
        <w:t xml:space="preserve">§ 8, stk. 3 </w:t>
      </w:r>
      <w:r w:rsidRPr="00666CBC">
        <w:t>og</w:t>
      </w:r>
      <w:r w:rsidRPr="00CC5137">
        <w:rPr>
          <w:i/>
          <w:iCs/>
        </w:rPr>
        <w:t xml:space="preserve"> 4</w:t>
      </w:r>
      <w:r w:rsidRPr="00666CBC">
        <w:rPr>
          <w:i/>
          <w:iCs/>
        </w:rPr>
        <w:t xml:space="preserve">, </w:t>
      </w:r>
      <w:r>
        <w:t>indsættes efter »</w:t>
      </w:r>
      <w:r w:rsidR="005361F2">
        <w:t>5</w:t>
      </w:r>
      <w:r>
        <w:t>-</w:t>
      </w:r>
      <w:r w:rsidR="005361F2">
        <w:t>6</w:t>
      </w:r>
      <w:r>
        <w:t>,«: »dog ikke disses filialer, distributører og agenter her i landet,«.</w:t>
      </w:r>
    </w:p>
    <w:p w14:paraId="52E0FA4C" w14:textId="77777777" w:rsidR="002C2015" w:rsidRDefault="002C2015" w:rsidP="002C2015">
      <w:pPr>
        <w:jc w:val="left"/>
      </w:pPr>
    </w:p>
    <w:p w14:paraId="1BEF063C" w14:textId="77777777" w:rsidR="002C2015" w:rsidRDefault="002C2015" w:rsidP="002C2015">
      <w:pPr>
        <w:jc w:val="left"/>
      </w:pPr>
      <w:r w:rsidRPr="00925E51">
        <w:rPr>
          <w:b/>
          <w:bCs/>
        </w:rPr>
        <w:t>10</w:t>
      </w:r>
      <w:r w:rsidRPr="00666CBC">
        <w:rPr>
          <w:b/>
          <w:bCs/>
        </w:rPr>
        <w:t xml:space="preserve">. </w:t>
      </w:r>
      <w:r>
        <w:t xml:space="preserve">I </w:t>
      </w:r>
      <w:r w:rsidRPr="00CC5137">
        <w:rPr>
          <w:i/>
          <w:iCs/>
        </w:rPr>
        <w:t>§ 8, stk. 5,</w:t>
      </w:r>
      <w:r>
        <w:t xml:space="preserve"> indsættes efter »virksomheder«: », dog ikke disses filialer, distributører og agenter her i landet,«.</w:t>
      </w:r>
    </w:p>
    <w:p w14:paraId="3BCEF05B" w14:textId="77777777" w:rsidR="002C2015" w:rsidRDefault="002C2015" w:rsidP="002C2015">
      <w:pPr>
        <w:jc w:val="left"/>
      </w:pPr>
    </w:p>
    <w:p w14:paraId="0CE7B49E" w14:textId="65A7919C" w:rsidR="002C2015" w:rsidRDefault="002C2015" w:rsidP="002C2015">
      <w:pPr>
        <w:jc w:val="left"/>
      </w:pPr>
      <w:r w:rsidRPr="00925E51">
        <w:rPr>
          <w:b/>
          <w:bCs/>
        </w:rPr>
        <w:t>11</w:t>
      </w:r>
      <w:r w:rsidRPr="00666CBC">
        <w:rPr>
          <w:b/>
          <w:bCs/>
        </w:rPr>
        <w:t>.</w:t>
      </w:r>
      <w:r>
        <w:t xml:space="preserve"> I </w:t>
      </w:r>
      <w:r w:rsidRPr="00CC5137">
        <w:rPr>
          <w:i/>
          <w:iCs/>
        </w:rPr>
        <w:t xml:space="preserve">§ 14, stk. 6, 2. pkt., </w:t>
      </w:r>
      <w:r w:rsidRPr="00CC5137">
        <w:t>og</w:t>
      </w:r>
      <w:r w:rsidRPr="00CC5137">
        <w:rPr>
          <w:i/>
          <w:iCs/>
        </w:rPr>
        <w:t xml:space="preserve"> § 27, stk. 3</w:t>
      </w:r>
      <w:r w:rsidRPr="00666CBC">
        <w:rPr>
          <w:i/>
          <w:iCs/>
        </w:rPr>
        <w:t>,</w:t>
      </w:r>
      <w:r>
        <w:t xml:space="preserve"> ændres »nr. 14« til: »nr. 13«.</w:t>
      </w:r>
    </w:p>
    <w:p w14:paraId="3008D7E8" w14:textId="77777777" w:rsidR="002C2015" w:rsidRDefault="002C2015" w:rsidP="002C2015">
      <w:pPr>
        <w:jc w:val="left"/>
      </w:pPr>
    </w:p>
    <w:p w14:paraId="5E4FB632" w14:textId="6889F24C" w:rsidR="002C2015" w:rsidRDefault="002C2015" w:rsidP="002C2015">
      <w:pPr>
        <w:jc w:val="left"/>
      </w:pPr>
      <w:r w:rsidRPr="00925E51">
        <w:rPr>
          <w:b/>
          <w:bCs/>
        </w:rPr>
        <w:t>12</w:t>
      </w:r>
      <w:r w:rsidRPr="00666CBC">
        <w:rPr>
          <w:b/>
          <w:bCs/>
        </w:rPr>
        <w:t>.</w:t>
      </w:r>
      <w:r>
        <w:t xml:space="preserve"> </w:t>
      </w:r>
      <w:r w:rsidR="001D0D18">
        <w:t>(Sættes ikke i kraft for Færøerne)</w:t>
      </w:r>
    </w:p>
    <w:p w14:paraId="330D90FA" w14:textId="77777777" w:rsidR="002C2015" w:rsidRDefault="002C2015" w:rsidP="002C2015">
      <w:pPr>
        <w:jc w:val="left"/>
      </w:pPr>
    </w:p>
    <w:p w14:paraId="2A7FA77B" w14:textId="77777777" w:rsidR="002C2015" w:rsidRDefault="002C2015" w:rsidP="002C2015">
      <w:pPr>
        <w:jc w:val="left"/>
      </w:pPr>
      <w:r w:rsidRPr="00925E51">
        <w:rPr>
          <w:b/>
          <w:bCs/>
        </w:rPr>
        <w:t>13</w:t>
      </w:r>
      <w:r w:rsidRPr="00666CBC">
        <w:rPr>
          <w:b/>
          <w:bCs/>
        </w:rPr>
        <w:t xml:space="preserve">. </w:t>
      </w:r>
      <w:r>
        <w:t xml:space="preserve">I </w:t>
      </w:r>
      <w:r w:rsidRPr="00CC5137">
        <w:rPr>
          <w:i/>
          <w:iCs/>
        </w:rPr>
        <w:t>§ 35, stk. 1, 1. pkt., § 35 a, stk. 1</w:t>
      </w:r>
      <w:r w:rsidRPr="00666CBC">
        <w:rPr>
          <w:i/>
          <w:iCs/>
        </w:rPr>
        <w:t>,</w:t>
      </w:r>
      <w:r>
        <w:t xml:space="preserve"> og </w:t>
      </w:r>
      <w:r w:rsidRPr="00CC5137">
        <w:rPr>
          <w:i/>
          <w:iCs/>
        </w:rPr>
        <w:t>§ 36, stk. 1, 1. pkt</w:t>
      </w:r>
      <w:r>
        <w:t>.</w:t>
      </w:r>
      <w:r w:rsidRPr="00666CBC">
        <w:rPr>
          <w:i/>
          <w:iCs/>
        </w:rPr>
        <w:t xml:space="preserve">, </w:t>
      </w:r>
      <w:r>
        <w:t>ændres »og 11« til: »og 10«.</w:t>
      </w:r>
    </w:p>
    <w:p w14:paraId="7E48D94B" w14:textId="77777777" w:rsidR="002C2015" w:rsidRDefault="002C2015" w:rsidP="002C2015">
      <w:pPr>
        <w:jc w:val="left"/>
      </w:pPr>
    </w:p>
    <w:p w14:paraId="639AE95A" w14:textId="396417A5" w:rsidR="002C2015" w:rsidRDefault="002C2015" w:rsidP="002F77DB">
      <w:pPr>
        <w:jc w:val="left"/>
      </w:pPr>
      <w:r w:rsidRPr="00925E51">
        <w:rPr>
          <w:b/>
          <w:bCs/>
        </w:rPr>
        <w:t>14</w:t>
      </w:r>
      <w:r w:rsidRPr="00666CBC">
        <w:rPr>
          <w:b/>
          <w:bCs/>
        </w:rPr>
        <w:t>.</w:t>
      </w:r>
      <w:r>
        <w:t xml:space="preserve"> </w:t>
      </w:r>
      <w:r w:rsidR="002F77DB">
        <w:t>(Sættes ikke i kraft for Færøerne)</w:t>
      </w:r>
    </w:p>
    <w:p w14:paraId="48F70640" w14:textId="77777777" w:rsidR="002C2015" w:rsidRDefault="002C2015" w:rsidP="002C2015">
      <w:pPr>
        <w:jc w:val="left"/>
      </w:pPr>
    </w:p>
    <w:p w14:paraId="47B795F3" w14:textId="54230A26" w:rsidR="002C2015" w:rsidRDefault="002C2015" w:rsidP="002C2015">
      <w:pPr>
        <w:jc w:val="left"/>
      </w:pPr>
      <w:r w:rsidRPr="00925E51">
        <w:rPr>
          <w:b/>
          <w:bCs/>
        </w:rPr>
        <w:t>15</w:t>
      </w:r>
      <w:r w:rsidRPr="00666CBC">
        <w:rPr>
          <w:b/>
          <w:bCs/>
        </w:rPr>
        <w:t>.</w:t>
      </w:r>
      <w:r>
        <w:t xml:space="preserve"> I </w:t>
      </w:r>
      <w:r w:rsidRPr="00CC5137">
        <w:rPr>
          <w:i/>
          <w:iCs/>
        </w:rPr>
        <w:t>§ 35, stk. 1, 1. pkt.,</w:t>
      </w:r>
      <w:r>
        <w:t xml:space="preserve"> </w:t>
      </w:r>
      <w:r w:rsidRPr="001E57D4">
        <w:t xml:space="preserve">og </w:t>
      </w:r>
      <w:r w:rsidRPr="001E57D4">
        <w:rPr>
          <w:i/>
          <w:iCs/>
        </w:rPr>
        <w:t>§ 36, stk. 1, 1. pkt</w:t>
      </w:r>
      <w:r w:rsidRPr="00666CBC">
        <w:rPr>
          <w:i/>
          <w:iCs/>
        </w:rPr>
        <w:t>.,</w:t>
      </w:r>
      <w:r w:rsidRPr="001E57D4">
        <w:t xml:space="preserve"> ændres »nr.</w:t>
      </w:r>
      <w:r>
        <w:t xml:space="preserve"> </w:t>
      </w:r>
      <w:r w:rsidR="001D0D18">
        <w:t>14</w:t>
      </w:r>
      <w:r w:rsidR="001E57D4">
        <w:t xml:space="preserve"> og</w:t>
      </w:r>
      <w:r w:rsidR="001D0D18">
        <w:t xml:space="preserve"> </w:t>
      </w:r>
      <w:r>
        <w:t>1</w:t>
      </w:r>
      <w:r w:rsidR="001D0D18">
        <w:t>9</w:t>
      </w:r>
      <w:r w:rsidR="001E57D4">
        <w:t>-</w:t>
      </w:r>
      <w:r>
        <w:t xml:space="preserve">20 og 22-24« til: »nr. </w:t>
      </w:r>
      <w:r w:rsidR="001D0D18">
        <w:t>13</w:t>
      </w:r>
      <w:r w:rsidR="00E57F7C">
        <w:t>,</w:t>
      </w:r>
      <w:r w:rsidR="001D0D18">
        <w:t xml:space="preserve"> </w:t>
      </w:r>
      <w:r>
        <w:t>1</w:t>
      </w:r>
      <w:r w:rsidR="001D0D18">
        <w:t>8</w:t>
      </w:r>
      <w:r w:rsidR="00E57F7C">
        <w:t xml:space="preserve">, </w:t>
      </w:r>
      <w:r>
        <w:t>19 og 21-26«.</w:t>
      </w:r>
    </w:p>
    <w:p w14:paraId="690056CE" w14:textId="77777777" w:rsidR="002C2015" w:rsidRDefault="002C2015" w:rsidP="002C2015">
      <w:pPr>
        <w:jc w:val="left"/>
      </w:pPr>
    </w:p>
    <w:p w14:paraId="4D0EFA45" w14:textId="193478E7" w:rsidR="002C2015" w:rsidRDefault="002C2015" w:rsidP="002C2015">
      <w:pPr>
        <w:jc w:val="left"/>
      </w:pPr>
      <w:r w:rsidRPr="00925E51">
        <w:rPr>
          <w:b/>
          <w:bCs/>
        </w:rPr>
        <w:t>16</w:t>
      </w:r>
      <w:r w:rsidRPr="00666CBC">
        <w:rPr>
          <w:b/>
          <w:bCs/>
        </w:rPr>
        <w:t>.</w:t>
      </w:r>
      <w:r>
        <w:t xml:space="preserve"> I </w:t>
      </w:r>
      <w:r w:rsidRPr="00CC5137">
        <w:rPr>
          <w:i/>
          <w:iCs/>
        </w:rPr>
        <w:t>§ 35 a, stk. 1,</w:t>
      </w:r>
      <w:r>
        <w:t xml:space="preserve"> ændres »nr. 13-20« til: »nr. 1</w:t>
      </w:r>
      <w:r w:rsidR="008F4CA1">
        <w:t>3, 16, 18</w:t>
      </w:r>
      <w:r w:rsidR="00E57F7C">
        <w:t xml:space="preserve"> og</w:t>
      </w:r>
      <w:r w:rsidR="00893E3A">
        <w:t xml:space="preserve"> </w:t>
      </w:r>
      <w:r>
        <w:t>19«.</w:t>
      </w:r>
    </w:p>
    <w:p w14:paraId="52A41650" w14:textId="77777777" w:rsidR="002C2015" w:rsidRDefault="002C2015" w:rsidP="002C2015">
      <w:pPr>
        <w:jc w:val="left"/>
      </w:pPr>
    </w:p>
    <w:p w14:paraId="7BF8CE74" w14:textId="53CAB922" w:rsidR="002C2015" w:rsidRDefault="002C2015" w:rsidP="002C2015">
      <w:pPr>
        <w:jc w:val="left"/>
      </w:pPr>
      <w:r w:rsidRPr="00925E51">
        <w:rPr>
          <w:b/>
          <w:bCs/>
        </w:rPr>
        <w:t>17</w:t>
      </w:r>
      <w:r w:rsidRPr="00666CBC">
        <w:rPr>
          <w:b/>
          <w:bCs/>
        </w:rPr>
        <w:t>.</w:t>
      </w:r>
      <w:r>
        <w:t xml:space="preserve"> I </w:t>
      </w:r>
      <w:r w:rsidRPr="00CC5137">
        <w:rPr>
          <w:i/>
          <w:iCs/>
        </w:rPr>
        <w:t>§ 38, stk. 3</w:t>
      </w:r>
      <w:r w:rsidRPr="00666CBC">
        <w:rPr>
          <w:i/>
          <w:iCs/>
        </w:rPr>
        <w:t xml:space="preserve">, </w:t>
      </w:r>
      <w:r>
        <w:t>ændres »nr. 1</w:t>
      </w:r>
      <w:r w:rsidR="008F4CA1">
        <w:t>, 3, 5</w:t>
      </w:r>
      <w:r w:rsidR="001E57D4">
        <w:t>-</w:t>
      </w:r>
      <w:r w:rsidR="008F4CA1">
        <w:t xml:space="preserve">6, 8-11, </w:t>
      </w:r>
      <w:r>
        <w:t>19 eller 23-27« til: »nr. 1</w:t>
      </w:r>
      <w:r w:rsidR="008F4CA1">
        <w:t>, 3, 5</w:t>
      </w:r>
      <w:r w:rsidR="00E57F7C">
        <w:t xml:space="preserve">, </w:t>
      </w:r>
      <w:r w:rsidR="008F4CA1">
        <w:t>6, 8</w:t>
      </w:r>
      <w:r>
        <w:t>-1</w:t>
      </w:r>
      <w:r w:rsidR="008F4CA1">
        <w:t>0</w:t>
      </w:r>
      <w:r>
        <w:t>, 18 eller 22-26«.</w:t>
      </w:r>
    </w:p>
    <w:p w14:paraId="13153EB7" w14:textId="77777777" w:rsidR="002C2015" w:rsidRDefault="002C2015" w:rsidP="002C2015">
      <w:pPr>
        <w:jc w:val="left"/>
      </w:pPr>
    </w:p>
    <w:p w14:paraId="3113AEA6" w14:textId="1A3926F4" w:rsidR="002C2015" w:rsidRDefault="002C2015" w:rsidP="002C2015">
      <w:pPr>
        <w:jc w:val="left"/>
      </w:pPr>
      <w:r w:rsidRPr="00925E51">
        <w:rPr>
          <w:b/>
          <w:bCs/>
        </w:rPr>
        <w:t>18</w:t>
      </w:r>
      <w:r w:rsidRPr="00666CBC">
        <w:rPr>
          <w:b/>
          <w:bCs/>
        </w:rPr>
        <w:t xml:space="preserve">. </w:t>
      </w:r>
      <w:r>
        <w:t xml:space="preserve">I </w:t>
      </w:r>
      <w:r w:rsidRPr="00CC5137">
        <w:rPr>
          <w:i/>
          <w:iCs/>
        </w:rPr>
        <w:t>§ 38, stk. 5</w:t>
      </w:r>
      <w:r w:rsidRPr="00666CBC">
        <w:rPr>
          <w:i/>
          <w:iCs/>
        </w:rPr>
        <w:t>,</w:t>
      </w:r>
      <w:r>
        <w:t xml:space="preserve"> ændres »nr. 14« til: »nr. 13«.</w:t>
      </w:r>
    </w:p>
    <w:p w14:paraId="5B1FEAAC" w14:textId="77777777" w:rsidR="002C2015" w:rsidRDefault="002C2015" w:rsidP="002C2015">
      <w:pPr>
        <w:jc w:val="left"/>
      </w:pPr>
    </w:p>
    <w:p w14:paraId="727AB68D" w14:textId="4110B240" w:rsidR="002C2015" w:rsidRDefault="002C2015" w:rsidP="002C2015">
      <w:pPr>
        <w:jc w:val="left"/>
      </w:pPr>
      <w:r w:rsidRPr="00925E51">
        <w:rPr>
          <w:b/>
          <w:bCs/>
        </w:rPr>
        <w:t>19.</w:t>
      </w:r>
      <w:r>
        <w:t xml:space="preserve"> I </w:t>
      </w:r>
      <w:r w:rsidRPr="00CC5137">
        <w:rPr>
          <w:i/>
          <w:iCs/>
        </w:rPr>
        <w:t>§ 38, stk. 6</w:t>
      </w:r>
      <w:r w:rsidRPr="00666CBC">
        <w:rPr>
          <w:i/>
          <w:iCs/>
        </w:rPr>
        <w:t xml:space="preserve">, </w:t>
      </w:r>
      <w:r>
        <w:t>ændres »nr. 1</w:t>
      </w:r>
      <w:r w:rsidR="008F4CA1">
        <w:t>, 3, 5</w:t>
      </w:r>
      <w:r w:rsidR="001E57D4">
        <w:t>-</w:t>
      </w:r>
      <w:r w:rsidR="008F4CA1">
        <w:t>6, 8</w:t>
      </w:r>
      <w:r>
        <w:t>-1</w:t>
      </w:r>
      <w:r w:rsidR="008F4CA1">
        <w:t>1</w:t>
      </w:r>
      <w:r>
        <w:t>, 1</w:t>
      </w:r>
      <w:r w:rsidR="008F4CA1">
        <w:t>4</w:t>
      </w:r>
      <w:r>
        <w:t>, 19, 21 og 23-27« til: »nr. 1</w:t>
      </w:r>
      <w:r w:rsidR="008F4CA1">
        <w:t>, 3, 5</w:t>
      </w:r>
      <w:r w:rsidR="00E57F7C">
        <w:t xml:space="preserve">, </w:t>
      </w:r>
      <w:r w:rsidR="008F4CA1">
        <w:t>6, 8</w:t>
      </w:r>
      <w:r>
        <w:t>-1</w:t>
      </w:r>
      <w:r w:rsidR="008F4CA1">
        <w:t>0</w:t>
      </w:r>
      <w:r>
        <w:t>, 1</w:t>
      </w:r>
      <w:r w:rsidR="008F4CA1">
        <w:t>3</w:t>
      </w:r>
      <w:r>
        <w:t>, 18, 20 og 22-26«.</w:t>
      </w:r>
    </w:p>
    <w:p w14:paraId="68BA38E7" w14:textId="77777777" w:rsidR="002C2015" w:rsidRDefault="002C2015" w:rsidP="002C2015">
      <w:pPr>
        <w:jc w:val="left"/>
      </w:pPr>
    </w:p>
    <w:p w14:paraId="4B25F585" w14:textId="38930B5B" w:rsidR="002C2015" w:rsidRDefault="002C2015" w:rsidP="002C2015">
      <w:pPr>
        <w:jc w:val="left"/>
      </w:pPr>
      <w:r w:rsidRPr="00925E51">
        <w:rPr>
          <w:b/>
          <w:bCs/>
        </w:rPr>
        <w:t>20</w:t>
      </w:r>
      <w:r w:rsidRPr="00666CBC">
        <w:rPr>
          <w:b/>
          <w:bCs/>
        </w:rPr>
        <w:t>.</w:t>
      </w:r>
      <w:r>
        <w:t xml:space="preserve"> </w:t>
      </w:r>
      <w:r w:rsidR="007623EF">
        <w:t>(Sættes ikke i kraft for Færøerne)</w:t>
      </w:r>
    </w:p>
    <w:p w14:paraId="0A48D5F9" w14:textId="77777777" w:rsidR="002C2015" w:rsidRDefault="002C2015" w:rsidP="002C2015">
      <w:pPr>
        <w:jc w:val="left"/>
      </w:pPr>
    </w:p>
    <w:p w14:paraId="27455F17" w14:textId="77777777" w:rsidR="002C2015" w:rsidRDefault="002C2015" w:rsidP="002C2015">
      <w:pPr>
        <w:jc w:val="left"/>
      </w:pPr>
      <w:r w:rsidRPr="00925E51">
        <w:rPr>
          <w:b/>
          <w:bCs/>
        </w:rPr>
        <w:t>21</w:t>
      </w:r>
      <w:r w:rsidRPr="00666CBC">
        <w:rPr>
          <w:b/>
          <w:bCs/>
        </w:rPr>
        <w:t>.</w:t>
      </w:r>
      <w:r>
        <w:t xml:space="preserve"> I </w:t>
      </w:r>
      <w:r w:rsidRPr="00CC5137">
        <w:rPr>
          <w:i/>
          <w:iCs/>
        </w:rPr>
        <w:t>§ 41</w:t>
      </w:r>
      <w:r>
        <w:t xml:space="preserve"> ændres »nr. 19« til: »nr. 18«.</w:t>
      </w:r>
    </w:p>
    <w:p w14:paraId="2B5DC096" w14:textId="77777777" w:rsidR="002C2015" w:rsidRDefault="002C2015" w:rsidP="002C2015">
      <w:pPr>
        <w:jc w:val="left"/>
      </w:pPr>
    </w:p>
    <w:p w14:paraId="351F7C74" w14:textId="219AF741" w:rsidR="002C2015" w:rsidRDefault="002C2015" w:rsidP="002C2015">
      <w:pPr>
        <w:jc w:val="left"/>
      </w:pPr>
      <w:r w:rsidRPr="00925E51">
        <w:rPr>
          <w:b/>
          <w:bCs/>
        </w:rPr>
        <w:t>22</w:t>
      </w:r>
      <w:r w:rsidRPr="00666CBC">
        <w:rPr>
          <w:b/>
          <w:bCs/>
        </w:rPr>
        <w:t xml:space="preserve">. </w:t>
      </w:r>
      <w:r>
        <w:t xml:space="preserve">I </w:t>
      </w:r>
      <w:r w:rsidRPr="00CC5137">
        <w:rPr>
          <w:i/>
          <w:iCs/>
        </w:rPr>
        <w:t>§ 47, stk. 1, 1. pkt</w:t>
      </w:r>
      <w:r>
        <w:t>.</w:t>
      </w:r>
      <w:r w:rsidRPr="00666CBC">
        <w:rPr>
          <w:i/>
          <w:iCs/>
        </w:rPr>
        <w:t xml:space="preserve">, </w:t>
      </w:r>
      <w:r w:rsidR="007623EF">
        <w:t>ændres »nr. 1, 3, 5-6, 8-11, 14, 19 og 23-27« til: »nr. 1, 3, 5</w:t>
      </w:r>
      <w:r w:rsidR="00893E3A">
        <w:t xml:space="preserve">, </w:t>
      </w:r>
      <w:r w:rsidR="007623EF">
        <w:t xml:space="preserve">6, 8-10, </w:t>
      </w:r>
      <w:r w:rsidR="007B6F07">
        <w:t xml:space="preserve">13, </w:t>
      </w:r>
      <w:r w:rsidR="007623EF">
        <w:t xml:space="preserve">18 og 22-26« og i </w:t>
      </w:r>
      <w:r w:rsidRPr="00666CBC">
        <w:rPr>
          <w:i/>
          <w:iCs/>
        </w:rPr>
        <w:t>§ 49, stk. 1, 1. pkt., §§ 51</w:t>
      </w:r>
      <w:r>
        <w:t xml:space="preserve"> og </w:t>
      </w:r>
      <w:r w:rsidRPr="00666CBC">
        <w:rPr>
          <w:i/>
          <w:iCs/>
        </w:rPr>
        <w:t>53</w:t>
      </w:r>
      <w:r>
        <w:t xml:space="preserve"> og </w:t>
      </w:r>
      <w:r w:rsidRPr="00666CBC">
        <w:rPr>
          <w:i/>
          <w:iCs/>
        </w:rPr>
        <w:t>§ 54, stk. 1 og 2,</w:t>
      </w:r>
      <w:r>
        <w:t xml:space="preserve"> ændres »nr. 1</w:t>
      </w:r>
      <w:r w:rsidR="007623EF">
        <w:t>, 3, 5-6, 8</w:t>
      </w:r>
      <w:r>
        <w:t>-1</w:t>
      </w:r>
      <w:r w:rsidR="007623EF">
        <w:t>1</w:t>
      </w:r>
      <w:r>
        <w:t>, 19 og 23-27« til: »nr. 1</w:t>
      </w:r>
      <w:r w:rsidR="007623EF">
        <w:t>, 3, 5</w:t>
      </w:r>
      <w:r w:rsidR="00893E3A">
        <w:t xml:space="preserve">, </w:t>
      </w:r>
      <w:r w:rsidR="007623EF">
        <w:t>6, 8</w:t>
      </w:r>
      <w:r>
        <w:t>-1</w:t>
      </w:r>
      <w:r w:rsidR="007623EF">
        <w:t>0</w:t>
      </w:r>
      <w:r>
        <w:t>, 18 og 22-26«.</w:t>
      </w:r>
    </w:p>
    <w:p w14:paraId="13F6400A" w14:textId="77777777" w:rsidR="002C2015" w:rsidRDefault="002C2015" w:rsidP="002C2015">
      <w:pPr>
        <w:jc w:val="left"/>
      </w:pPr>
    </w:p>
    <w:p w14:paraId="69038790" w14:textId="510C3B39" w:rsidR="002C2015" w:rsidRDefault="002C2015" w:rsidP="002C2015">
      <w:pPr>
        <w:jc w:val="left"/>
      </w:pPr>
      <w:r w:rsidRPr="00925E51">
        <w:rPr>
          <w:b/>
          <w:bCs/>
        </w:rPr>
        <w:t>23</w:t>
      </w:r>
      <w:r w:rsidRPr="00666CBC">
        <w:rPr>
          <w:b/>
          <w:bCs/>
        </w:rPr>
        <w:t>.</w:t>
      </w:r>
      <w:r>
        <w:t xml:space="preserve"> </w:t>
      </w:r>
      <w:r w:rsidR="00083BB3">
        <w:t>(Sættes ikke i kraft for Færøerne)</w:t>
      </w:r>
    </w:p>
    <w:p w14:paraId="4774878A" w14:textId="77777777" w:rsidR="002C2015" w:rsidRDefault="002C2015" w:rsidP="002C2015">
      <w:pPr>
        <w:jc w:val="left"/>
      </w:pPr>
    </w:p>
    <w:p w14:paraId="5C808602" w14:textId="5D48E5E7" w:rsidR="002C2015" w:rsidRDefault="002C2015" w:rsidP="002C2015">
      <w:pPr>
        <w:jc w:val="left"/>
      </w:pPr>
      <w:r w:rsidRPr="00925E51">
        <w:rPr>
          <w:b/>
          <w:bCs/>
        </w:rPr>
        <w:t>24</w:t>
      </w:r>
      <w:r w:rsidRPr="00666CBC">
        <w:rPr>
          <w:b/>
          <w:bCs/>
        </w:rPr>
        <w:t>.</w:t>
      </w:r>
      <w:r>
        <w:t xml:space="preserve"> </w:t>
      </w:r>
      <w:r w:rsidR="00083BB3">
        <w:t>(Sættes ikke i kraft for Færøerne)</w:t>
      </w:r>
    </w:p>
    <w:p w14:paraId="49A1E281" w14:textId="77777777" w:rsidR="002C2015" w:rsidRDefault="002C2015" w:rsidP="002C2015">
      <w:pPr>
        <w:jc w:val="left"/>
      </w:pPr>
    </w:p>
    <w:p w14:paraId="627B384B" w14:textId="77777777" w:rsidR="002C2015" w:rsidRDefault="002C2015" w:rsidP="002C2015">
      <w:pPr>
        <w:jc w:val="left"/>
      </w:pPr>
      <w:r w:rsidRPr="00925E51">
        <w:rPr>
          <w:b/>
          <w:bCs/>
        </w:rPr>
        <w:t>25</w:t>
      </w:r>
      <w:r w:rsidRPr="00666CBC">
        <w:rPr>
          <w:b/>
          <w:bCs/>
        </w:rPr>
        <w:t>.</w:t>
      </w:r>
      <w:r>
        <w:t xml:space="preserve"> I </w:t>
      </w:r>
      <w:r w:rsidRPr="00CC5137">
        <w:rPr>
          <w:i/>
          <w:iCs/>
        </w:rPr>
        <w:t>§ 48, stk. 2</w:t>
      </w:r>
      <w:r w:rsidRPr="00666CBC">
        <w:rPr>
          <w:i/>
          <w:iCs/>
        </w:rPr>
        <w:t xml:space="preserve">, </w:t>
      </w:r>
      <w:r>
        <w:t>ændres »nr. 23-27« til: »nr. 22-26«.</w:t>
      </w:r>
    </w:p>
    <w:p w14:paraId="2C2B6F63" w14:textId="77777777" w:rsidR="002C2015" w:rsidRDefault="002C2015" w:rsidP="002C2015">
      <w:pPr>
        <w:jc w:val="left"/>
      </w:pPr>
    </w:p>
    <w:p w14:paraId="195CF026" w14:textId="77777777" w:rsidR="002C2015" w:rsidRDefault="002C2015" w:rsidP="002C2015">
      <w:pPr>
        <w:jc w:val="left"/>
      </w:pPr>
      <w:r w:rsidRPr="00925E51">
        <w:rPr>
          <w:b/>
          <w:bCs/>
        </w:rPr>
        <w:t>26</w:t>
      </w:r>
      <w:r w:rsidRPr="00666CBC">
        <w:rPr>
          <w:b/>
          <w:bCs/>
        </w:rPr>
        <w:t xml:space="preserve">. </w:t>
      </w:r>
      <w:r>
        <w:t xml:space="preserve">I </w:t>
      </w:r>
      <w:r w:rsidRPr="00CC5137">
        <w:rPr>
          <w:i/>
          <w:iCs/>
        </w:rPr>
        <w:t>§ 49, stk. 6</w:t>
      </w:r>
      <w:r w:rsidRPr="00666CBC">
        <w:rPr>
          <w:i/>
          <w:iCs/>
        </w:rPr>
        <w:t>,</w:t>
      </w:r>
      <w:r>
        <w:t xml:space="preserve"> indsættes efter »de«: »udenlandske«.</w:t>
      </w:r>
    </w:p>
    <w:p w14:paraId="1D75AAB6" w14:textId="77777777" w:rsidR="002C2015" w:rsidRDefault="002C2015" w:rsidP="002C2015">
      <w:pPr>
        <w:jc w:val="left"/>
      </w:pPr>
    </w:p>
    <w:p w14:paraId="4622D7D7" w14:textId="50A8B3D8" w:rsidR="002C2015" w:rsidRDefault="002C2015" w:rsidP="002C2015">
      <w:pPr>
        <w:jc w:val="left"/>
      </w:pPr>
      <w:r w:rsidRPr="00925E51">
        <w:rPr>
          <w:b/>
          <w:bCs/>
        </w:rPr>
        <w:t>27</w:t>
      </w:r>
      <w:r w:rsidRPr="00666CBC">
        <w:rPr>
          <w:b/>
          <w:bCs/>
        </w:rPr>
        <w:t>.</w:t>
      </w:r>
      <w:r>
        <w:t xml:space="preserve"> </w:t>
      </w:r>
      <w:r w:rsidR="003802AC">
        <w:t xml:space="preserve">(Sættes ikke i kraft for Færøerne) </w:t>
      </w:r>
    </w:p>
    <w:p w14:paraId="41BF3723" w14:textId="77777777" w:rsidR="002C2015" w:rsidRDefault="002C2015" w:rsidP="002C2015">
      <w:pPr>
        <w:jc w:val="left"/>
      </w:pPr>
    </w:p>
    <w:p w14:paraId="5FB2FFFF" w14:textId="77777777" w:rsidR="002C2015" w:rsidRDefault="002C2015" w:rsidP="002C2015">
      <w:pPr>
        <w:jc w:val="left"/>
      </w:pPr>
      <w:r w:rsidRPr="00925E51">
        <w:rPr>
          <w:b/>
          <w:bCs/>
        </w:rPr>
        <w:t>28</w:t>
      </w:r>
      <w:r w:rsidRPr="00666CBC">
        <w:rPr>
          <w:b/>
          <w:bCs/>
        </w:rPr>
        <w:t xml:space="preserve">. </w:t>
      </w:r>
      <w:r>
        <w:t xml:space="preserve">I </w:t>
      </w:r>
      <w:r w:rsidRPr="00CC5137">
        <w:rPr>
          <w:i/>
          <w:iCs/>
        </w:rPr>
        <w:t>§ 51 a, stk. 1</w:t>
      </w:r>
      <w:r w:rsidRPr="00666CBC">
        <w:rPr>
          <w:i/>
          <w:iCs/>
        </w:rPr>
        <w:t xml:space="preserve">, </w:t>
      </w:r>
      <w:r>
        <w:t xml:space="preserve">og </w:t>
      </w:r>
      <w:r w:rsidRPr="00CC5137">
        <w:rPr>
          <w:i/>
          <w:iCs/>
        </w:rPr>
        <w:t>§ 51 b, stk. 1, 1. pkt</w:t>
      </w:r>
      <w:r>
        <w:t>.</w:t>
      </w:r>
      <w:r w:rsidRPr="00666CBC">
        <w:rPr>
          <w:i/>
          <w:iCs/>
        </w:rPr>
        <w:t xml:space="preserve">, </w:t>
      </w:r>
      <w:r>
        <w:t>ændres »10, 11, 19 og 23-27« til: »9, 10, 18 og 22-26, dog ikke disses filialer, distributører og agenter her i landet«.</w:t>
      </w:r>
    </w:p>
    <w:p w14:paraId="7C741624" w14:textId="77777777" w:rsidR="00911CD6" w:rsidRDefault="00911CD6" w:rsidP="002C2015">
      <w:pPr>
        <w:jc w:val="left"/>
      </w:pPr>
    </w:p>
    <w:p w14:paraId="7113C202" w14:textId="243766EB" w:rsidR="002C2015" w:rsidRDefault="002C2015" w:rsidP="002C2015">
      <w:pPr>
        <w:jc w:val="left"/>
      </w:pPr>
      <w:r w:rsidRPr="00911CD6">
        <w:rPr>
          <w:b/>
          <w:bCs/>
        </w:rPr>
        <w:lastRenderedPageBreak/>
        <w:t>29.</w:t>
      </w:r>
      <w:r>
        <w:t xml:space="preserve"> I </w:t>
      </w:r>
      <w:r w:rsidRPr="00CC5137">
        <w:rPr>
          <w:i/>
          <w:iCs/>
        </w:rPr>
        <w:t>§ 51 a, stk. 1</w:t>
      </w:r>
      <w:r w:rsidRPr="00666CBC">
        <w:rPr>
          <w:i/>
          <w:iCs/>
        </w:rPr>
        <w:t>,</w:t>
      </w:r>
      <w:r>
        <w:t xml:space="preserve"> ændres »ikke har tilstrækkelig godt omdømme eller personens adfærd giver grund til at antage, at personen ikke vil varetage stillingen på forsvarlig måde, jf. § 7, stk. 2, 4. pkt.« til: »efter § 7, stk. 2, 3. og 4. pkt., ikke kan bestride stillingen.«</w:t>
      </w:r>
    </w:p>
    <w:p w14:paraId="1E06C7E8" w14:textId="77777777" w:rsidR="002C2015" w:rsidRDefault="002C2015" w:rsidP="002C2015">
      <w:pPr>
        <w:jc w:val="left"/>
      </w:pPr>
    </w:p>
    <w:p w14:paraId="052FC875" w14:textId="77777777" w:rsidR="002C2015" w:rsidRDefault="002C2015" w:rsidP="002C2015">
      <w:pPr>
        <w:jc w:val="left"/>
      </w:pPr>
      <w:r w:rsidRPr="00925E51">
        <w:rPr>
          <w:b/>
          <w:bCs/>
        </w:rPr>
        <w:t>30.</w:t>
      </w:r>
      <w:r>
        <w:t xml:space="preserve"> Efter § 51 b indsættes:</w:t>
      </w:r>
    </w:p>
    <w:p w14:paraId="1529D453" w14:textId="77777777" w:rsidR="002C2015" w:rsidRDefault="002C2015" w:rsidP="002C2015">
      <w:pPr>
        <w:jc w:val="left"/>
      </w:pPr>
      <w:r w:rsidRPr="00666CBC">
        <w:rPr>
          <w:b/>
          <w:bCs/>
        </w:rPr>
        <w:t>»</w:t>
      </w:r>
      <w:r w:rsidRPr="00CC5137">
        <w:rPr>
          <w:b/>
          <w:bCs/>
        </w:rPr>
        <w:t>§ 51 c</w:t>
      </w:r>
      <w:r w:rsidRPr="00666CBC">
        <w:rPr>
          <w:b/>
          <w:bCs/>
        </w:rPr>
        <w:t>.</w:t>
      </w:r>
      <w:r>
        <w:t xml:space="preserve"> Finanstilsynet kan påbyde en valutavekslingsvirksomhed at afsætte en direktør inden for en af Finanstilsynet fastsat frist, hvis denne efter § 45, stk. 1, ikke kan bestride stillingen. Finanstilsynet kan under samme betingelser som i 1. pkt. påbyde et medlem af bestyrelsen i en valutavekslingsvirksomhed at nedlægge sit hverv inden for en af Finanstilsynet fastsat frist.</w:t>
      </w:r>
    </w:p>
    <w:p w14:paraId="00C320E4" w14:textId="77777777" w:rsidR="002C2015" w:rsidRDefault="002C2015" w:rsidP="002C2015">
      <w:pPr>
        <w:jc w:val="left"/>
      </w:pPr>
      <w:r w:rsidRPr="00CC5137">
        <w:rPr>
          <w:i/>
          <w:iCs/>
        </w:rPr>
        <w:t>Stk. 2</w:t>
      </w:r>
      <w:r>
        <w:t xml:space="preserve">.  Finanstilsynet kan påbyde en valutavekslingsvirksomhed at afsætte en direktør, når der er rejst tiltale mod den pågældende i en straffesag om overtrædelse af </w:t>
      </w:r>
      <w:r w:rsidRPr="00666CBC">
        <w:t>straffeloven, den finansielle lovgivning eller anden relevant lovgivning</w:t>
      </w:r>
      <w:r w:rsidRPr="00461694">
        <w:t>,</w:t>
      </w:r>
      <w:r>
        <w:t xml:space="preserve"> indtil straffesagen er afgjort, hvis domfældelse vil indebære, at direktøren ikke opfylder kravene i § 45, stk. 1, nr. 3. Finanstilsynet fastsætter en frist for efterlevelse af påbuddet. Finanstilsynet kan under samme betingelser som i 1. pkt. påbyde et medlem af bestyrelsen i en valutavekslingsvirksomhed at nedlægge sit hverv. Finanstilsynet fastsætter en frist for efterlevelse af påbuddet.</w:t>
      </w:r>
    </w:p>
    <w:p w14:paraId="58D168CC" w14:textId="77777777" w:rsidR="002C2015" w:rsidRDefault="002C2015" w:rsidP="002C2015">
      <w:pPr>
        <w:jc w:val="left"/>
      </w:pPr>
      <w:r w:rsidRPr="00CC5137">
        <w:rPr>
          <w:i/>
          <w:iCs/>
        </w:rPr>
        <w:t>Stk. 3</w:t>
      </w:r>
      <w:r>
        <w:t>.  Varigheden af påbud meddelt efter stk. 1, 2. pkt., på baggrund af § 45, stk. 1, nr. 2 og 4-6, skal fremgå af påbuddet.</w:t>
      </w:r>
    </w:p>
    <w:p w14:paraId="74AE4D1F" w14:textId="77777777" w:rsidR="002C2015" w:rsidRDefault="002C2015" w:rsidP="002C2015">
      <w:pPr>
        <w:jc w:val="left"/>
      </w:pPr>
      <w:r w:rsidRPr="00CC5137">
        <w:rPr>
          <w:i/>
          <w:iCs/>
        </w:rPr>
        <w:t>Stk. 4</w:t>
      </w:r>
      <w:r>
        <w:t>. Påbud meddelt efter stk. 1 og 2 kan af valutavekslingsvirksomheden og den person, som påbuddet vedrører, forlanges indbragt for domstolene. Anmodning herom skal indgives til Finanstilsynet, inden 4 uger efter at påbuddet er meddelt den pågældende. Anmodningen har ikke opsættende virkning for påbuddet, men retten kan ved kendelse bestemme, at den pågældende direktør eller det pågældende bestyrelsesmedlem under sagens behandling kan opretholde sit hverv eller sin stilling. Finanstilsynet indbringer sagen for domstolene inden 4 uger efter modtagelse af anmodning herom. Sagen anlægges i den borgerlige retsplejes former.</w:t>
      </w:r>
    </w:p>
    <w:p w14:paraId="5DD1A2F5" w14:textId="77777777" w:rsidR="002C2015" w:rsidRDefault="002C2015" w:rsidP="002C2015">
      <w:pPr>
        <w:jc w:val="left"/>
      </w:pPr>
      <w:r w:rsidRPr="00CC5137">
        <w:rPr>
          <w:i/>
          <w:iCs/>
        </w:rPr>
        <w:t>Stk. 5</w:t>
      </w:r>
      <w:r>
        <w:t>. Finanstilsynet kan af egen drift eller efter ansøgning tilbagekalde påbud meddelt efter stk. 1, 2. pkt., og stk. 2, 3. pkt. Afslår Finanstilsynet en ansøgning om tilbagekaldelse, kan ansøgeren forlange afslaget indbragt for domstolene. Anmodning herom skal indgives til Finanstilsynet, inden 4 uger efter at afslaget er meddelt den pågældende. Anmodning om domstolsprøvelse kan dog kun fremsættes, hvis påbuddet ikke er tidsbegrænset og der er forløbet mindst 5 år fra datoen for udstedelsen af påbuddet eller mindst 2 år, efter at Finanstilsynets afslag på tilbagekaldelse er stadfæstet ved dom.</w:t>
      </w:r>
    </w:p>
    <w:p w14:paraId="4E658538" w14:textId="77777777" w:rsidR="002C2015" w:rsidRDefault="002C2015" w:rsidP="002C2015">
      <w:pPr>
        <w:jc w:val="left"/>
      </w:pPr>
      <w:r w:rsidRPr="00CC5137">
        <w:rPr>
          <w:i/>
          <w:iCs/>
        </w:rPr>
        <w:t>Stk. 6</w:t>
      </w:r>
      <w:r>
        <w:t xml:space="preserve">. Har valutavekslingsvirksomheden ikke afsat direktøren inden for den fastsatte frist, kan Finanstilsynet inddrage virksomhedens tilladelse, jf. § 46, stk. 1, nr. 3. Finanstilsynet kan </w:t>
      </w:r>
      <w:proofErr w:type="gramStart"/>
      <w:r>
        <w:t>endvidere</w:t>
      </w:r>
      <w:proofErr w:type="gramEnd"/>
      <w:r>
        <w:t xml:space="preserve"> inddrage valutavekslingsvirksomhedens tilladelse, jf. § 46, stk. 1, nr. 3, hvis et bestyrelsesmedlem ikke efterkommer et påbud meddelt i medfør af stk. 1, 2. pkt., og stk. 2, 3. pkt.</w:t>
      </w:r>
    </w:p>
    <w:p w14:paraId="27B4849F" w14:textId="77777777" w:rsidR="002C2015" w:rsidRDefault="002C2015" w:rsidP="002C2015">
      <w:pPr>
        <w:jc w:val="left"/>
      </w:pPr>
      <w:r w:rsidRPr="00CC5137">
        <w:rPr>
          <w:i/>
          <w:iCs/>
        </w:rPr>
        <w:t>Stk. 7</w:t>
      </w:r>
      <w:r>
        <w:t>. Stk. 1-6 finder tilsvarende anvendelse på den eller de for virksomheden ledelsesansvarlige, når en valutavekslingsvirksomhed drives som en juridisk person uden en bestyrelse eller direktion.«</w:t>
      </w:r>
    </w:p>
    <w:p w14:paraId="535081FB" w14:textId="77777777" w:rsidR="002C2015" w:rsidRDefault="002C2015" w:rsidP="002C2015">
      <w:pPr>
        <w:jc w:val="left"/>
      </w:pPr>
    </w:p>
    <w:p w14:paraId="52975931" w14:textId="77777777" w:rsidR="002C2015" w:rsidRDefault="002C2015" w:rsidP="002C2015">
      <w:pPr>
        <w:jc w:val="left"/>
      </w:pPr>
      <w:r w:rsidRPr="00925E51">
        <w:rPr>
          <w:b/>
          <w:bCs/>
        </w:rPr>
        <w:t>31</w:t>
      </w:r>
      <w:r w:rsidRPr="00666CBC">
        <w:rPr>
          <w:b/>
          <w:bCs/>
        </w:rPr>
        <w:t>.</w:t>
      </w:r>
      <w:r>
        <w:t xml:space="preserve"> I </w:t>
      </w:r>
      <w:r w:rsidRPr="00CC5137">
        <w:rPr>
          <w:i/>
          <w:iCs/>
        </w:rPr>
        <w:t>§ 52</w:t>
      </w:r>
      <w:r>
        <w:t xml:space="preserve"> ændres »og 23-27« til: »og 22-26«.</w:t>
      </w:r>
    </w:p>
    <w:p w14:paraId="134592EE" w14:textId="77777777" w:rsidR="002C2015" w:rsidRDefault="002C2015" w:rsidP="002C2015">
      <w:pPr>
        <w:jc w:val="left"/>
      </w:pPr>
    </w:p>
    <w:p w14:paraId="6F227E0A" w14:textId="73085901" w:rsidR="002C2015" w:rsidRDefault="002C2015" w:rsidP="002C2015">
      <w:pPr>
        <w:jc w:val="left"/>
      </w:pPr>
      <w:r w:rsidRPr="00925E51">
        <w:rPr>
          <w:b/>
          <w:bCs/>
        </w:rPr>
        <w:t>32</w:t>
      </w:r>
      <w:r w:rsidRPr="00666CBC">
        <w:rPr>
          <w:b/>
          <w:bCs/>
        </w:rPr>
        <w:t>.</w:t>
      </w:r>
      <w:r>
        <w:t xml:space="preserve"> </w:t>
      </w:r>
      <w:r w:rsidR="00461694">
        <w:t>(Sættes ikke i kraft for Færøerne)</w:t>
      </w:r>
    </w:p>
    <w:p w14:paraId="194A2DB6" w14:textId="77777777" w:rsidR="002C2015" w:rsidRDefault="002C2015" w:rsidP="002C2015">
      <w:pPr>
        <w:jc w:val="left"/>
      </w:pPr>
    </w:p>
    <w:p w14:paraId="4DC85E22" w14:textId="224B7F04" w:rsidR="002C2015" w:rsidRDefault="002C2015" w:rsidP="002C2015">
      <w:pPr>
        <w:jc w:val="left"/>
      </w:pPr>
      <w:r w:rsidRPr="00925E51">
        <w:rPr>
          <w:b/>
          <w:bCs/>
        </w:rPr>
        <w:t>33</w:t>
      </w:r>
      <w:r w:rsidRPr="00666CBC">
        <w:rPr>
          <w:b/>
          <w:bCs/>
        </w:rPr>
        <w:t>.</w:t>
      </w:r>
      <w:r>
        <w:t xml:space="preserve"> </w:t>
      </w:r>
      <w:r w:rsidR="00461694">
        <w:t>(Sættes ikke i kraft for Færøerne)</w:t>
      </w:r>
    </w:p>
    <w:p w14:paraId="1AD00EFA" w14:textId="77777777" w:rsidR="002C2015" w:rsidRDefault="002C2015" w:rsidP="002C2015">
      <w:pPr>
        <w:jc w:val="left"/>
      </w:pPr>
    </w:p>
    <w:p w14:paraId="3ADB5161" w14:textId="45547579" w:rsidR="002C2015" w:rsidRDefault="002C2015" w:rsidP="002C2015">
      <w:pPr>
        <w:jc w:val="left"/>
      </w:pPr>
      <w:r w:rsidRPr="00925E51">
        <w:rPr>
          <w:b/>
          <w:bCs/>
        </w:rPr>
        <w:t>34</w:t>
      </w:r>
      <w:r w:rsidRPr="00666CBC">
        <w:rPr>
          <w:b/>
          <w:bCs/>
        </w:rPr>
        <w:t>.</w:t>
      </w:r>
      <w:r>
        <w:t xml:space="preserve"> </w:t>
      </w:r>
      <w:r w:rsidR="00461694">
        <w:t>(Sættes ikke i kraft for Færøerne)</w:t>
      </w:r>
    </w:p>
    <w:p w14:paraId="0ACDD7CC" w14:textId="77777777" w:rsidR="002C2015" w:rsidRDefault="002C2015" w:rsidP="002C2015">
      <w:pPr>
        <w:jc w:val="left"/>
      </w:pPr>
    </w:p>
    <w:p w14:paraId="15DC739F" w14:textId="365AB0D4" w:rsidR="002C2015" w:rsidRDefault="002C2015" w:rsidP="002C2015">
      <w:pPr>
        <w:jc w:val="left"/>
      </w:pPr>
      <w:r w:rsidRPr="00925E51">
        <w:rPr>
          <w:b/>
          <w:bCs/>
        </w:rPr>
        <w:t>35</w:t>
      </w:r>
      <w:r w:rsidRPr="00666CBC">
        <w:rPr>
          <w:b/>
          <w:bCs/>
        </w:rPr>
        <w:t>.</w:t>
      </w:r>
      <w:r>
        <w:t xml:space="preserve"> </w:t>
      </w:r>
      <w:r w:rsidR="00025B70">
        <w:t xml:space="preserve">(Sættes ikke i kraft for Færøerne) </w:t>
      </w:r>
    </w:p>
    <w:p w14:paraId="454C4B51" w14:textId="77777777" w:rsidR="002C2015" w:rsidRDefault="002C2015" w:rsidP="002C2015">
      <w:pPr>
        <w:jc w:val="left"/>
      </w:pPr>
    </w:p>
    <w:p w14:paraId="1AF230E1" w14:textId="503E9200" w:rsidR="002C2015" w:rsidRDefault="002C2015" w:rsidP="002C2015">
      <w:pPr>
        <w:jc w:val="left"/>
      </w:pPr>
      <w:r w:rsidRPr="00925E51">
        <w:rPr>
          <w:b/>
          <w:bCs/>
        </w:rPr>
        <w:t>36</w:t>
      </w:r>
      <w:r w:rsidRPr="00666CBC">
        <w:rPr>
          <w:b/>
          <w:bCs/>
        </w:rPr>
        <w:t>.</w:t>
      </w:r>
      <w:r>
        <w:t xml:space="preserve"> </w:t>
      </w:r>
      <w:r w:rsidR="00461694">
        <w:t xml:space="preserve">(Sættes ikke i kraft for Færøerne) </w:t>
      </w:r>
    </w:p>
    <w:p w14:paraId="5849E208" w14:textId="77777777" w:rsidR="002C2015" w:rsidRDefault="002C2015" w:rsidP="002C2015">
      <w:pPr>
        <w:jc w:val="left"/>
      </w:pPr>
    </w:p>
    <w:p w14:paraId="257132E3" w14:textId="77777777" w:rsidR="002C2015" w:rsidRDefault="002C2015" w:rsidP="00666CBC">
      <w:r w:rsidRPr="00925E51">
        <w:rPr>
          <w:b/>
          <w:bCs/>
        </w:rPr>
        <w:t>37</w:t>
      </w:r>
      <w:r w:rsidRPr="00666CBC">
        <w:rPr>
          <w:b/>
          <w:bCs/>
        </w:rPr>
        <w:t>.</w:t>
      </w:r>
      <w:r>
        <w:t xml:space="preserve"> I </w:t>
      </w:r>
      <w:r w:rsidRPr="00CC5137">
        <w:rPr>
          <w:i/>
          <w:iCs/>
        </w:rPr>
        <w:t>§ 79</w:t>
      </w:r>
      <w:r>
        <w:t xml:space="preserve"> indsættes som </w:t>
      </w:r>
      <w:r w:rsidRPr="00666CBC">
        <w:rPr>
          <w:i/>
          <w:iCs/>
        </w:rPr>
        <w:t>2. pkt.:</w:t>
      </w:r>
      <w:r>
        <w:t xml:space="preserve"> </w:t>
      </w:r>
    </w:p>
    <w:p w14:paraId="02B9EA1D" w14:textId="77777777" w:rsidR="002C2015" w:rsidRDefault="002C2015" w:rsidP="002C2015">
      <w:pPr>
        <w:jc w:val="left"/>
      </w:pPr>
      <w:r>
        <w:t>»Med bøde straffes endvidere den, som ikke efterkommer et påbud, der er givet i medfør af § 51 c, stk. 1, 2. pkt., og stk. 2, 3. pkt.«</w:t>
      </w:r>
    </w:p>
    <w:p w14:paraId="3156FE21" w14:textId="77777777" w:rsidR="002C2015" w:rsidRDefault="002C2015" w:rsidP="002C2015">
      <w:pPr>
        <w:jc w:val="left"/>
      </w:pPr>
    </w:p>
    <w:p w14:paraId="715FF62E" w14:textId="77777777" w:rsidR="002C2015" w:rsidRPr="0012578D" w:rsidRDefault="002C2015" w:rsidP="002C2015">
      <w:pPr>
        <w:jc w:val="left"/>
      </w:pPr>
      <w:r w:rsidRPr="00925E51">
        <w:rPr>
          <w:b/>
          <w:bCs/>
        </w:rPr>
        <w:t>38</w:t>
      </w:r>
      <w:r w:rsidRPr="00666CBC">
        <w:rPr>
          <w:b/>
          <w:bCs/>
        </w:rPr>
        <w:t xml:space="preserve">. </w:t>
      </w:r>
      <w:r>
        <w:t xml:space="preserve">I </w:t>
      </w:r>
      <w:r w:rsidRPr="00CC5137">
        <w:rPr>
          <w:i/>
          <w:iCs/>
        </w:rPr>
        <w:t>§ 80</w:t>
      </w:r>
      <w:r>
        <w:t xml:space="preserve"> indsættes efter stk. 1 som </w:t>
      </w:r>
      <w:r w:rsidRPr="0012578D">
        <w:t>nyt stykke:</w:t>
      </w:r>
    </w:p>
    <w:p w14:paraId="09742A6A" w14:textId="77777777" w:rsidR="002C2015" w:rsidRDefault="002C2015" w:rsidP="002C2015">
      <w:pPr>
        <w:jc w:val="left"/>
      </w:pPr>
      <w:r w:rsidRPr="00666CBC">
        <w:rPr>
          <w:i/>
          <w:iCs/>
        </w:rPr>
        <w:t>»</w:t>
      </w:r>
      <w:r w:rsidRPr="00CC5137">
        <w:rPr>
          <w:i/>
          <w:iCs/>
        </w:rPr>
        <w:t>Stk. 2</w:t>
      </w:r>
      <w:r>
        <w:t>. Undlader en valutavekslingsvirksomhed at efterkomme et påbud meddelt i medfør af § 51 a, stk. 1, eller § 51 c, stk. 1, 1. pkt., og stk. 2, 1. pkt., kan virksomheden pålægges daglige eller ugentlige tvangsbøder.«</w:t>
      </w:r>
    </w:p>
    <w:p w14:paraId="488BE6F8" w14:textId="61DDAE87" w:rsidR="002C2015" w:rsidRDefault="002C2015" w:rsidP="002C2015">
      <w:pPr>
        <w:jc w:val="left"/>
      </w:pPr>
      <w:r>
        <w:t>Stk. 2-6 bliver herefter til stk. 3-7</w:t>
      </w:r>
      <w:r w:rsidR="00B15146">
        <w:t>.</w:t>
      </w:r>
    </w:p>
    <w:p w14:paraId="3A28965B" w14:textId="77777777" w:rsidR="002C2015" w:rsidRDefault="002C2015" w:rsidP="002C2015">
      <w:pPr>
        <w:jc w:val="left"/>
      </w:pPr>
    </w:p>
    <w:p w14:paraId="69F7FC13" w14:textId="77777777" w:rsidR="002C2015" w:rsidRDefault="002C2015" w:rsidP="002C2015">
      <w:pPr>
        <w:jc w:val="center"/>
        <w:rPr>
          <w:b/>
          <w:bCs/>
        </w:rPr>
      </w:pPr>
    </w:p>
    <w:p w14:paraId="698E493B" w14:textId="66826877" w:rsidR="002C2015" w:rsidRDefault="002C2015" w:rsidP="002C2015">
      <w:pPr>
        <w:jc w:val="center"/>
        <w:rPr>
          <w:b/>
          <w:bCs/>
        </w:rPr>
      </w:pPr>
      <w:r>
        <w:rPr>
          <w:b/>
          <w:bCs/>
        </w:rPr>
        <w:t xml:space="preserve">§ </w:t>
      </w:r>
      <w:r w:rsidR="00ED32D3">
        <w:rPr>
          <w:b/>
          <w:bCs/>
        </w:rPr>
        <w:t>6</w:t>
      </w:r>
    </w:p>
    <w:p w14:paraId="129C3E98" w14:textId="77777777" w:rsidR="002C2015" w:rsidRDefault="002C2015" w:rsidP="002C2015">
      <w:pPr>
        <w:jc w:val="center"/>
        <w:rPr>
          <w:b/>
          <w:bCs/>
        </w:rPr>
      </w:pPr>
    </w:p>
    <w:p w14:paraId="0F19FEC0" w14:textId="0B73F3CD" w:rsidR="002C2015" w:rsidRDefault="002C2015" w:rsidP="002C2015">
      <w:pPr>
        <w:jc w:val="left"/>
      </w:pPr>
      <w:r>
        <w:t>I hvidvaskloven,</w:t>
      </w:r>
      <w:r w:rsidR="00ED32D3">
        <w:t xml:space="preserve"> som sat i kraft for Færøerne,</w:t>
      </w:r>
      <w:r>
        <w:t xml:space="preserve"> jf.</w:t>
      </w:r>
      <w:r w:rsidR="00ED32D3">
        <w:t xml:space="preserve"> § 1, foretages i medfør af § 3 i </w:t>
      </w:r>
      <w:r>
        <w:t xml:space="preserve">lov nr. </w:t>
      </w:r>
      <w:r w:rsidR="00ED32D3">
        <w:t>2601 af 28. december 2021</w:t>
      </w:r>
      <w:r>
        <w:t xml:space="preserve"> følgende ændringer:</w:t>
      </w:r>
    </w:p>
    <w:p w14:paraId="734EC1B2" w14:textId="77777777" w:rsidR="002C2015" w:rsidRDefault="002C2015" w:rsidP="002C2015">
      <w:pPr>
        <w:jc w:val="left"/>
      </w:pPr>
    </w:p>
    <w:p w14:paraId="2F69C17A" w14:textId="77777777" w:rsidR="002C2015" w:rsidRDefault="002C2015" w:rsidP="002C2015">
      <w:pPr>
        <w:jc w:val="left"/>
      </w:pPr>
      <w:r w:rsidRPr="00925E51">
        <w:rPr>
          <w:b/>
          <w:bCs/>
        </w:rPr>
        <w:t>1</w:t>
      </w:r>
      <w:r w:rsidRPr="00666CBC">
        <w:rPr>
          <w:b/>
          <w:bCs/>
        </w:rPr>
        <w:t>.</w:t>
      </w:r>
      <w:r>
        <w:t xml:space="preserve"> I </w:t>
      </w:r>
      <w:r w:rsidRPr="00CC5137">
        <w:rPr>
          <w:i/>
          <w:iCs/>
        </w:rPr>
        <w:t>§ 26</w:t>
      </w:r>
      <w:r>
        <w:t xml:space="preserve"> indsættes efter stk. 3 som nye stykker:</w:t>
      </w:r>
    </w:p>
    <w:p w14:paraId="073029E2" w14:textId="77777777" w:rsidR="002C2015" w:rsidRDefault="002C2015" w:rsidP="002C2015">
      <w:pPr>
        <w:jc w:val="left"/>
      </w:pPr>
      <w:r w:rsidRPr="00666CBC">
        <w:rPr>
          <w:i/>
          <w:iCs/>
        </w:rPr>
        <w:t>»</w:t>
      </w:r>
      <w:r w:rsidRPr="00CC5137">
        <w:rPr>
          <w:i/>
          <w:iCs/>
        </w:rPr>
        <w:t>Stk. 4</w:t>
      </w:r>
      <w:r>
        <w:t>.  Virksomheder og personer skal undlade at gennemføre transaktioner, indtil der er sket underretning efter stk. 1 og de har indhentet godkendelse fra Hvidvasksekretariatet, hvis de har viden om, mistanke om eller rimelig grund til at formode, at transaktionen vedrører hvidvask og er af større eller særlig mistænkelig karakter. Hvidvasksekretariatet foranstalter hurtigst muligt og senest inden udløbet af den efterfølgende bankdag efter at have modtaget underretning beslutningen om, hvorvidt der skal ske beslaglæggelse.</w:t>
      </w:r>
    </w:p>
    <w:p w14:paraId="5DC37E4B" w14:textId="77777777" w:rsidR="002C2015" w:rsidRDefault="002C2015" w:rsidP="002C2015">
      <w:pPr>
        <w:jc w:val="left"/>
      </w:pPr>
      <w:r w:rsidRPr="00CC5137">
        <w:rPr>
          <w:i/>
          <w:iCs/>
        </w:rPr>
        <w:t>Stk. 5</w:t>
      </w:r>
      <w:r w:rsidRPr="003C657A">
        <w:t>. Justitsministeren kan fastsætte nærmere regler om, hvornår en transaktion anses for omfattet af stk. 4.«</w:t>
      </w:r>
    </w:p>
    <w:p w14:paraId="2FD0F01E" w14:textId="77777777" w:rsidR="002C2015" w:rsidRDefault="002C2015" w:rsidP="002C2015">
      <w:pPr>
        <w:jc w:val="left"/>
      </w:pPr>
      <w:r>
        <w:t>Stk. 4-6 bliver herefter stk. 6-8.</w:t>
      </w:r>
    </w:p>
    <w:p w14:paraId="7D9885D0" w14:textId="77777777" w:rsidR="002C2015" w:rsidRPr="00ED6358" w:rsidRDefault="002C2015" w:rsidP="002C2015">
      <w:pPr>
        <w:jc w:val="left"/>
        <w:rPr>
          <w:b/>
          <w:bCs/>
        </w:rPr>
      </w:pPr>
    </w:p>
    <w:p w14:paraId="5F527160" w14:textId="77777777" w:rsidR="002C2015" w:rsidRDefault="002C2015" w:rsidP="002C2015">
      <w:pPr>
        <w:jc w:val="left"/>
      </w:pPr>
      <w:r w:rsidRPr="00925E51">
        <w:rPr>
          <w:b/>
          <w:bCs/>
        </w:rPr>
        <w:t>2</w:t>
      </w:r>
      <w:r w:rsidRPr="00666CBC">
        <w:rPr>
          <w:b/>
          <w:bCs/>
        </w:rPr>
        <w:t>.</w:t>
      </w:r>
      <w:r>
        <w:t xml:space="preserve"> I </w:t>
      </w:r>
      <w:r w:rsidRPr="00CC5137">
        <w:rPr>
          <w:i/>
          <w:iCs/>
        </w:rPr>
        <w:t>§ 26, stk. 4, 2. pkt.</w:t>
      </w:r>
      <w:r>
        <w:t>, der bliver stk. 6, 2. pkt., ændres »beslutter« til: »foranstalter«, og efter »underretning« indsættes: »beslutningen om«.</w:t>
      </w:r>
    </w:p>
    <w:p w14:paraId="78D4509B" w14:textId="77777777" w:rsidR="002C2015" w:rsidRDefault="002C2015" w:rsidP="002C2015">
      <w:pPr>
        <w:jc w:val="left"/>
      </w:pPr>
    </w:p>
    <w:p w14:paraId="04253742" w14:textId="77777777" w:rsidR="002C2015" w:rsidRDefault="002C2015" w:rsidP="002C2015">
      <w:pPr>
        <w:jc w:val="left"/>
      </w:pPr>
      <w:r w:rsidRPr="00925E51">
        <w:rPr>
          <w:b/>
          <w:bCs/>
        </w:rPr>
        <w:t>3</w:t>
      </w:r>
      <w:r w:rsidRPr="00666CBC">
        <w:rPr>
          <w:b/>
          <w:bCs/>
        </w:rPr>
        <w:t>.</w:t>
      </w:r>
      <w:r>
        <w:t xml:space="preserve"> I </w:t>
      </w:r>
      <w:r w:rsidRPr="008F5BB8">
        <w:rPr>
          <w:i/>
          <w:iCs/>
        </w:rPr>
        <w:t>§ 29, stk. 1</w:t>
      </w:r>
      <w:r>
        <w:t xml:space="preserve">, og </w:t>
      </w:r>
      <w:r w:rsidRPr="008F5BB8">
        <w:rPr>
          <w:i/>
          <w:iCs/>
        </w:rPr>
        <w:t>§ 78 a, stk. 2</w:t>
      </w:r>
      <w:r>
        <w:t>, ændres »Statsadvokaten for Særlig Økonomisk og International Kriminalitet« til: »National Enhed for Særlig Kriminalitet«.</w:t>
      </w:r>
    </w:p>
    <w:p w14:paraId="22C596A7" w14:textId="77777777" w:rsidR="002C2015" w:rsidRDefault="002C2015" w:rsidP="002C2015">
      <w:pPr>
        <w:jc w:val="left"/>
      </w:pPr>
    </w:p>
    <w:p w14:paraId="11313693" w14:textId="77777777" w:rsidR="002C2015" w:rsidRDefault="002C2015" w:rsidP="002C2015">
      <w:pPr>
        <w:jc w:val="left"/>
      </w:pPr>
      <w:r w:rsidRPr="00925E51">
        <w:rPr>
          <w:b/>
          <w:bCs/>
        </w:rPr>
        <w:t>4</w:t>
      </w:r>
      <w:r w:rsidRPr="00666CBC">
        <w:rPr>
          <w:b/>
          <w:bCs/>
        </w:rPr>
        <w:t xml:space="preserve">. </w:t>
      </w:r>
      <w:r>
        <w:t xml:space="preserve">I </w:t>
      </w:r>
      <w:r w:rsidRPr="008F5BB8">
        <w:rPr>
          <w:i/>
          <w:iCs/>
        </w:rPr>
        <w:t>§ 37</w:t>
      </w:r>
      <w:r>
        <w:t xml:space="preserve"> ændres »§ 26, stk. 3 og 4« til: »§ 26, stk. 3, 4 og 6«.</w:t>
      </w:r>
    </w:p>
    <w:p w14:paraId="280757D5" w14:textId="77777777" w:rsidR="002C2015" w:rsidRDefault="002C2015" w:rsidP="002C2015">
      <w:pPr>
        <w:jc w:val="left"/>
      </w:pPr>
    </w:p>
    <w:p w14:paraId="3CC14339" w14:textId="77777777" w:rsidR="002C2015" w:rsidRPr="00666CBC" w:rsidRDefault="002C2015" w:rsidP="002C2015">
      <w:pPr>
        <w:jc w:val="left"/>
        <w:rPr>
          <w:i/>
          <w:iCs/>
        </w:rPr>
      </w:pPr>
      <w:r w:rsidRPr="00925E51">
        <w:rPr>
          <w:b/>
          <w:bCs/>
        </w:rPr>
        <w:t>5.</w:t>
      </w:r>
      <w:r>
        <w:t xml:space="preserve"> Efter § 38 indsættes i </w:t>
      </w:r>
      <w:r w:rsidRPr="00666CBC">
        <w:rPr>
          <w:i/>
          <w:iCs/>
        </w:rPr>
        <w:t>kapitel 8:</w:t>
      </w:r>
    </w:p>
    <w:p w14:paraId="7B085D27" w14:textId="7A5CC53A" w:rsidR="002C2015" w:rsidRPr="00ED32D3" w:rsidRDefault="002C2015" w:rsidP="002C2015">
      <w:pPr>
        <w:jc w:val="left"/>
      </w:pPr>
      <w:r w:rsidRPr="00666CBC">
        <w:rPr>
          <w:b/>
          <w:bCs/>
        </w:rPr>
        <w:t>»</w:t>
      </w:r>
      <w:r w:rsidRPr="008F5BB8">
        <w:rPr>
          <w:b/>
          <w:bCs/>
        </w:rPr>
        <w:t>§ 38 a</w:t>
      </w:r>
      <w:r w:rsidRPr="00666CBC">
        <w:rPr>
          <w:b/>
          <w:bCs/>
        </w:rPr>
        <w:t>.</w:t>
      </w:r>
      <w:r>
        <w:t xml:space="preserve"> </w:t>
      </w:r>
      <w:r w:rsidRPr="00ED32D3">
        <w:t>Personer, der virker inden for den offentlige forvaltning, er under ansvar efter straffelovens §§ 152-152 e forpligtet til at hemmeligholde oplysninger, som hidrører fra en underretning efter § 26.</w:t>
      </w:r>
    </w:p>
    <w:p w14:paraId="0AEA9E3A" w14:textId="5B1BC9CE" w:rsidR="002C2015" w:rsidRDefault="002C2015" w:rsidP="002C2015">
      <w:pPr>
        <w:jc w:val="left"/>
      </w:pPr>
      <w:r w:rsidRPr="008F5BB8">
        <w:rPr>
          <w:i/>
          <w:iCs/>
        </w:rPr>
        <w:t>Stk. 2</w:t>
      </w:r>
      <w:r w:rsidRPr="00ED32D3">
        <w:t>.</w:t>
      </w:r>
      <w:r w:rsidR="00ED32D3">
        <w:t xml:space="preserve"> </w:t>
      </w:r>
      <w:r w:rsidRPr="00ED32D3">
        <w:t>Forvaltningslovens § 9 om partsaktindsigt, § 19 om partshøring, § 24 om begrundelsespligt og §§ 28 og 31 om videregivelse af oplysninger mellem forvaltningsmyndigheder finder ikke anvendelse på de oplysninger, der er nævnt i stk. 1.«</w:t>
      </w:r>
    </w:p>
    <w:p w14:paraId="65C4D0B0" w14:textId="77777777" w:rsidR="002C2015" w:rsidRDefault="002C2015" w:rsidP="002C2015">
      <w:pPr>
        <w:jc w:val="left"/>
      </w:pPr>
    </w:p>
    <w:p w14:paraId="4A86E3ED" w14:textId="77777777" w:rsidR="002C2015" w:rsidRDefault="002C2015" w:rsidP="002C2015">
      <w:pPr>
        <w:jc w:val="left"/>
      </w:pPr>
      <w:r w:rsidRPr="00925E51">
        <w:rPr>
          <w:b/>
          <w:bCs/>
        </w:rPr>
        <w:t>6</w:t>
      </w:r>
      <w:r w:rsidRPr="00666CBC">
        <w:rPr>
          <w:b/>
          <w:bCs/>
        </w:rPr>
        <w:t>.</w:t>
      </w:r>
      <w:r>
        <w:t xml:space="preserve"> I </w:t>
      </w:r>
      <w:r w:rsidRPr="008F5BB8">
        <w:rPr>
          <w:i/>
          <w:iCs/>
        </w:rPr>
        <w:t>§ 55, stk. 3, § 62, stk. 3, § 64 a, stk. 3, § 68, stk. 3</w:t>
      </w:r>
      <w:r>
        <w:t xml:space="preserve">, og </w:t>
      </w:r>
      <w:r w:rsidRPr="008F5BB8">
        <w:rPr>
          <w:i/>
          <w:iCs/>
        </w:rPr>
        <w:t>§ 78, stk. 1, 2. pkt., og stk. 2 og 5</w:t>
      </w:r>
      <w:r>
        <w:t>, ændres »§ 26, stk. 1 og 3 og stk. 4, 1. pkt.,« til: »§ 26, stk. 1 og 3, stk. 4, 1. pkt., og stk. 6, 1. pkt.,«.</w:t>
      </w:r>
    </w:p>
    <w:p w14:paraId="33E2DBD5" w14:textId="77777777" w:rsidR="002C2015" w:rsidRDefault="002C2015" w:rsidP="002C2015">
      <w:pPr>
        <w:jc w:val="left"/>
      </w:pPr>
    </w:p>
    <w:p w14:paraId="211840F7" w14:textId="77777777" w:rsidR="002C2015" w:rsidRDefault="002C2015" w:rsidP="002C2015">
      <w:pPr>
        <w:jc w:val="left"/>
      </w:pPr>
      <w:r w:rsidRPr="00925E51">
        <w:rPr>
          <w:b/>
          <w:bCs/>
        </w:rPr>
        <w:t>7</w:t>
      </w:r>
      <w:r w:rsidRPr="00666CBC">
        <w:rPr>
          <w:b/>
          <w:bCs/>
        </w:rPr>
        <w:t>.</w:t>
      </w:r>
      <w:r>
        <w:t xml:space="preserve"> </w:t>
      </w:r>
      <w:r w:rsidRPr="008F5BB8">
        <w:rPr>
          <w:i/>
          <w:iCs/>
        </w:rPr>
        <w:t>§§ 69 b-69 d</w:t>
      </w:r>
      <w:r>
        <w:t xml:space="preserve"> og </w:t>
      </w:r>
      <w:r w:rsidRPr="008F5BB8">
        <w:rPr>
          <w:i/>
          <w:iCs/>
        </w:rPr>
        <w:t>74 a</w:t>
      </w:r>
      <w:r>
        <w:t xml:space="preserve"> ophæves.</w:t>
      </w:r>
    </w:p>
    <w:p w14:paraId="3A80FB41" w14:textId="77777777" w:rsidR="002C2015" w:rsidRDefault="002C2015" w:rsidP="002C2015">
      <w:pPr>
        <w:jc w:val="left"/>
      </w:pPr>
    </w:p>
    <w:p w14:paraId="0133B6F2" w14:textId="7BAD65C6" w:rsidR="002C2015" w:rsidRDefault="002C2015" w:rsidP="002C2015">
      <w:pPr>
        <w:jc w:val="left"/>
      </w:pPr>
      <w:r w:rsidRPr="00925E51">
        <w:rPr>
          <w:b/>
          <w:bCs/>
        </w:rPr>
        <w:t>8.</w:t>
      </w:r>
      <w:r>
        <w:t xml:space="preserve"> I </w:t>
      </w:r>
      <w:r w:rsidRPr="008F5BB8">
        <w:rPr>
          <w:i/>
          <w:iCs/>
        </w:rPr>
        <w:t>§ 78 a, stk. 1</w:t>
      </w:r>
      <w:r w:rsidR="00E702DF">
        <w:rPr>
          <w:i/>
          <w:iCs/>
        </w:rPr>
        <w:t>,</w:t>
      </w:r>
      <w:r>
        <w:t xml:space="preserve"> ændres »§ 26, stk. 1 eller 3, eller stk. 4, 1. pkt.,« til: »§ 26, stk. 1 og 3, stk. 4, 1. pkt., og stk. 6, 1. pkt.,«</w:t>
      </w:r>
      <w:r w:rsidR="00E702DF">
        <w:t>.</w:t>
      </w:r>
    </w:p>
    <w:p w14:paraId="37FE1C95" w14:textId="77777777" w:rsidR="002C2015" w:rsidRDefault="002C2015" w:rsidP="002C2015">
      <w:pPr>
        <w:jc w:val="left"/>
      </w:pPr>
    </w:p>
    <w:p w14:paraId="57B7E0BA" w14:textId="77777777" w:rsidR="00486610" w:rsidRDefault="00486610" w:rsidP="002C2015">
      <w:pPr>
        <w:jc w:val="left"/>
      </w:pPr>
    </w:p>
    <w:p w14:paraId="21127755" w14:textId="2409C460" w:rsidR="00486610" w:rsidRDefault="00486610" w:rsidP="00486610">
      <w:pPr>
        <w:jc w:val="center"/>
        <w:rPr>
          <w:b/>
          <w:bCs/>
        </w:rPr>
      </w:pPr>
      <w:r>
        <w:rPr>
          <w:b/>
          <w:bCs/>
        </w:rPr>
        <w:t>§ 7</w:t>
      </w:r>
    </w:p>
    <w:p w14:paraId="5C78BCE3" w14:textId="77777777" w:rsidR="00486610" w:rsidRDefault="00486610" w:rsidP="00486610">
      <w:pPr>
        <w:jc w:val="center"/>
        <w:rPr>
          <w:b/>
          <w:bCs/>
        </w:rPr>
      </w:pPr>
    </w:p>
    <w:p w14:paraId="1EF33578" w14:textId="54074665" w:rsidR="00486610" w:rsidRDefault="00486610" w:rsidP="00486610">
      <w:pPr>
        <w:jc w:val="left"/>
      </w:pPr>
      <w:r>
        <w:t>I hvidvaskloven, som sat i kraft for Færøerne, jf. § 1, foretages i medfør af § 9 i lov nr. 409 af 31. marts 2022 følgende ændringer:</w:t>
      </w:r>
    </w:p>
    <w:p w14:paraId="7FE1254B" w14:textId="77777777" w:rsidR="002C2015" w:rsidRDefault="002C2015" w:rsidP="002C2015">
      <w:pPr>
        <w:jc w:val="left"/>
      </w:pPr>
    </w:p>
    <w:p w14:paraId="7B609FE9" w14:textId="2CD5C390" w:rsidR="002C2015" w:rsidRPr="00BB68E6" w:rsidRDefault="002C2015" w:rsidP="002C2015">
      <w:pPr>
        <w:jc w:val="left"/>
        <w:rPr>
          <w:rFonts w:cs="Arial"/>
        </w:rPr>
      </w:pPr>
      <w:r w:rsidRPr="00BB68E6">
        <w:rPr>
          <w:rFonts w:cs="Arial"/>
          <w:b/>
          <w:bCs/>
        </w:rPr>
        <w:t>1.</w:t>
      </w:r>
      <w:r w:rsidRPr="00BB68E6">
        <w:rPr>
          <w:rFonts w:cs="Arial"/>
        </w:rPr>
        <w:t xml:space="preserve"> I </w:t>
      </w:r>
      <w:r w:rsidRPr="00BB68E6">
        <w:rPr>
          <w:rFonts w:cs="Arial"/>
          <w:i/>
          <w:iCs/>
        </w:rPr>
        <w:t>§ 47, stk. 1, 1. pkt</w:t>
      </w:r>
      <w:r w:rsidRPr="00BB68E6">
        <w:rPr>
          <w:rFonts w:cs="Arial"/>
        </w:rPr>
        <w:t>.</w:t>
      </w:r>
      <w:r w:rsidRPr="00666CBC">
        <w:rPr>
          <w:rFonts w:cs="Arial"/>
          <w:i/>
          <w:iCs/>
        </w:rPr>
        <w:t>,</w:t>
      </w:r>
      <w:r w:rsidRPr="00BB68E6">
        <w:rPr>
          <w:rFonts w:cs="Arial"/>
        </w:rPr>
        <w:t xml:space="preserve"> indsættes efter »pengeoverførsler, og«: »love </w:t>
      </w:r>
      <w:r w:rsidR="00486610" w:rsidRPr="00BB68E6">
        <w:rPr>
          <w:rFonts w:cs="Arial"/>
        </w:rPr>
        <w:t xml:space="preserve">indeholdende regler om </w:t>
      </w:r>
      <w:r w:rsidR="00486610" w:rsidRPr="00666CBC">
        <w:rPr>
          <w:rFonts w:cs="Arial"/>
          <w:color w:val="2F2F2B"/>
          <w:spacing w:val="2"/>
        </w:rPr>
        <w:t>finansielle sanktioner mod lande, personer, grupper, juridiske enheder eller organer</w:t>
      </w:r>
      <w:r w:rsidRPr="00BB68E6">
        <w:rPr>
          <w:rFonts w:cs="Arial"/>
        </w:rPr>
        <w:t>«.</w:t>
      </w:r>
    </w:p>
    <w:p w14:paraId="44E39C9D" w14:textId="77777777" w:rsidR="002C2015" w:rsidRPr="00BB68E6" w:rsidRDefault="002C2015" w:rsidP="002C2015">
      <w:pPr>
        <w:jc w:val="left"/>
        <w:rPr>
          <w:rFonts w:cs="Arial"/>
        </w:rPr>
      </w:pPr>
    </w:p>
    <w:p w14:paraId="6AFC0D52" w14:textId="14D2798D" w:rsidR="002C2015" w:rsidRPr="00BB68E6" w:rsidRDefault="002C2015" w:rsidP="002C2015">
      <w:pPr>
        <w:jc w:val="left"/>
        <w:rPr>
          <w:rFonts w:cs="Arial"/>
        </w:rPr>
      </w:pPr>
      <w:r w:rsidRPr="00BB68E6">
        <w:rPr>
          <w:rFonts w:cs="Arial"/>
          <w:b/>
          <w:bCs/>
        </w:rPr>
        <w:t>2</w:t>
      </w:r>
      <w:r w:rsidRPr="00666CBC">
        <w:rPr>
          <w:rFonts w:cs="Arial"/>
          <w:b/>
          <w:bCs/>
        </w:rPr>
        <w:t>.</w:t>
      </w:r>
      <w:r w:rsidRPr="00BB68E6">
        <w:rPr>
          <w:rFonts w:cs="Arial"/>
        </w:rPr>
        <w:t xml:space="preserve"> </w:t>
      </w:r>
      <w:r w:rsidR="00486610" w:rsidRPr="00BB68E6">
        <w:rPr>
          <w:rFonts w:cs="Arial"/>
        </w:rPr>
        <w:t>(Sættes ikke i kraft for Færøerne)</w:t>
      </w:r>
    </w:p>
    <w:p w14:paraId="6297FE45" w14:textId="77777777" w:rsidR="002C2015" w:rsidRPr="00BB68E6" w:rsidRDefault="002C2015" w:rsidP="002C2015">
      <w:pPr>
        <w:jc w:val="left"/>
        <w:rPr>
          <w:rFonts w:cs="Arial"/>
        </w:rPr>
      </w:pPr>
    </w:p>
    <w:p w14:paraId="7C028417" w14:textId="3CF13B40" w:rsidR="002C2015" w:rsidRPr="00BB68E6" w:rsidRDefault="002C2015" w:rsidP="002C2015">
      <w:pPr>
        <w:jc w:val="left"/>
        <w:rPr>
          <w:rFonts w:cs="Arial"/>
        </w:rPr>
      </w:pPr>
      <w:r w:rsidRPr="00BB68E6">
        <w:rPr>
          <w:rFonts w:cs="Arial"/>
          <w:b/>
          <w:bCs/>
        </w:rPr>
        <w:t>3.</w:t>
      </w:r>
      <w:r w:rsidRPr="00BB68E6">
        <w:rPr>
          <w:rFonts w:cs="Arial"/>
        </w:rPr>
        <w:t xml:space="preserve"> I </w:t>
      </w:r>
      <w:r w:rsidRPr="00BB68E6">
        <w:rPr>
          <w:rFonts w:cs="Arial"/>
          <w:i/>
          <w:iCs/>
        </w:rPr>
        <w:t>§ 64, stk. 1, 1. pkt</w:t>
      </w:r>
      <w:r w:rsidRPr="00BB68E6">
        <w:rPr>
          <w:rFonts w:cs="Arial"/>
        </w:rPr>
        <w:t>.</w:t>
      </w:r>
      <w:r w:rsidRPr="00666CBC">
        <w:rPr>
          <w:rFonts w:cs="Arial"/>
          <w:i/>
          <w:iCs/>
        </w:rPr>
        <w:t xml:space="preserve">, </w:t>
      </w:r>
      <w:r w:rsidR="00E6464D" w:rsidRPr="00BB68E6">
        <w:rPr>
          <w:rFonts w:cs="Arial"/>
        </w:rPr>
        <w:t xml:space="preserve">indsættes efter </w:t>
      </w:r>
      <w:r w:rsidRPr="00BB68E6">
        <w:rPr>
          <w:rFonts w:cs="Arial"/>
        </w:rPr>
        <w:t>»</w:t>
      </w:r>
      <w:r w:rsidR="00E6464D" w:rsidRPr="00BB68E6">
        <w:rPr>
          <w:rFonts w:cs="Arial"/>
        </w:rPr>
        <w:t>i medfør heraf</w:t>
      </w:r>
      <w:r w:rsidRPr="00BB68E6">
        <w:rPr>
          <w:rFonts w:cs="Arial"/>
        </w:rPr>
        <w:t xml:space="preserve">« til: »samt love </w:t>
      </w:r>
      <w:r w:rsidR="00E6464D" w:rsidRPr="00666CBC">
        <w:rPr>
          <w:rFonts w:cs="Arial"/>
          <w:color w:val="2F2F2B"/>
          <w:spacing w:val="2"/>
        </w:rPr>
        <w:t>indeholdende regler om finansielle sanktioner mod lande, personer, grupper, juridiske enheder eller organer</w:t>
      </w:r>
      <w:r w:rsidRPr="00BB68E6">
        <w:rPr>
          <w:rFonts w:cs="Arial"/>
        </w:rPr>
        <w:t>«.</w:t>
      </w:r>
    </w:p>
    <w:p w14:paraId="07925D32" w14:textId="77777777" w:rsidR="002C2015" w:rsidRDefault="002C2015" w:rsidP="002C2015">
      <w:pPr>
        <w:jc w:val="left"/>
      </w:pPr>
    </w:p>
    <w:p w14:paraId="150DFDF1" w14:textId="0D7ADA8C" w:rsidR="002C2015" w:rsidRDefault="002C2015" w:rsidP="002C2015">
      <w:pPr>
        <w:jc w:val="left"/>
      </w:pPr>
      <w:r w:rsidRPr="00925E51">
        <w:rPr>
          <w:b/>
          <w:bCs/>
        </w:rPr>
        <w:t>4.</w:t>
      </w:r>
      <w:r>
        <w:t xml:space="preserve"> </w:t>
      </w:r>
      <w:r w:rsidR="00E6464D">
        <w:t>(Sættes ikke i kraft for Færøerne)</w:t>
      </w:r>
    </w:p>
    <w:p w14:paraId="54D3B18F" w14:textId="77777777" w:rsidR="002C2015" w:rsidRDefault="002C2015" w:rsidP="002C2015">
      <w:pPr>
        <w:jc w:val="left"/>
      </w:pPr>
    </w:p>
    <w:p w14:paraId="5276DC82" w14:textId="2B74E80A" w:rsidR="00B446A7" w:rsidRPr="007E1CF4" w:rsidRDefault="00B446A7" w:rsidP="00B446A7">
      <w:pPr>
        <w:jc w:val="center"/>
        <w:rPr>
          <w:b/>
          <w:bCs/>
        </w:rPr>
      </w:pPr>
      <w:r w:rsidRPr="007E1CF4">
        <w:rPr>
          <w:b/>
          <w:bCs/>
        </w:rPr>
        <w:t xml:space="preserve">§ </w:t>
      </w:r>
      <w:r>
        <w:rPr>
          <w:b/>
          <w:bCs/>
        </w:rPr>
        <w:t>8</w:t>
      </w:r>
    </w:p>
    <w:p w14:paraId="34F65380" w14:textId="77777777" w:rsidR="00B446A7" w:rsidRDefault="00B446A7" w:rsidP="00B446A7">
      <w:pPr>
        <w:rPr>
          <w:b/>
          <w:bCs/>
        </w:rPr>
      </w:pPr>
    </w:p>
    <w:p w14:paraId="68EE1B08" w14:textId="3D1EED99" w:rsidR="00B446A7" w:rsidRDefault="00B446A7" w:rsidP="00B446A7">
      <w:pPr>
        <w:jc w:val="left"/>
      </w:pPr>
      <w:r w:rsidRPr="007E1CF4">
        <w:t xml:space="preserve">I hvidvaskloven, </w:t>
      </w:r>
      <w:r>
        <w:t xml:space="preserve">som sat i kraft for Grønland, jf. § 1, </w:t>
      </w:r>
      <w:r w:rsidRPr="007E1CF4">
        <w:t xml:space="preserve">foretages </w:t>
      </w:r>
      <w:r>
        <w:t xml:space="preserve">i medfør af § 4 i lov nr. 570 af 10. maj 2022 </w:t>
      </w:r>
      <w:r w:rsidRPr="007E1CF4">
        <w:t>følgende ændring:</w:t>
      </w:r>
    </w:p>
    <w:p w14:paraId="118FF154" w14:textId="77777777" w:rsidR="00B446A7" w:rsidRDefault="00B446A7" w:rsidP="00B446A7">
      <w:pPr>
        <w:jc w:val="left"/>
      </w:pPr>
    </w:p>
    <w:p w14:paraId="5A29DAD0" w14:textId="77777777" w:rsidR="00B446A7" w:rsidRDefault="00B446A7" w:rsidP="00B446A7">
      <w:pPr>
        <w:jc w:val="left"/>
      </w:pPr>
    </w:p>
    <w:p w14:paraId="12BC395A" w14:textId="77777777" w:rsidR="00B446A7" w:rsidRDefault="00B446A7" w:rsidP="00B446A7">
      <w:pPr>
        <w:jc w:val="left"/>
      </w:pPr>
      <w:r w:rsidRPr="00925E51">
        <w:rPr>
          <w:b/>
          <w:bCs/>
        </w:rPr>
        <w:t>1</w:t>
      </w:r>
      <w:r w:rsidRPr="00666CBC">
        <w:rPr>
          <w:b/>
          <w:bCs/>
        </w:rPr>
        <w:t>.</w:t>
      </w:r>
      <w:r>
        <w:t xml:space="preserve"> I </w:t>
      </w:r>
      <w:r w:rsidRPr="008F5BB8">
        <w:rPr>
          <w:i/>
          <w:iCs/>
        </w:rPr>
        <w:t>§ 38, stk. 8</w:t>
      </w:r>
      <w:r w:rsidRPr="00666CBC">
        <w:rPr>
          <w:i/>
          <w:iCs/>
        </w:rPr>
        <w:t>,</w:t>
      </w:r>
      <w:r>
        <w:t xml:space="preserve"> indsættes </w:t>
      </w:r>
      <w:r w:rsidRPr="008F5BB8">
        <w:t>efter</w:t>
      </w:r>
      <w:r>
        <w:t xml:space="preserve"> »er«: »dog«.</w:t>
      </w:r>
    </w:p>
    <w:p w14:paraId="6AD852D5" w14:textId="77777777" w:rsidR="001B637F" w:rsidRDefault="001B637F" w:rsidP="00F60597"/>
    <w:p w14:paraId="4DB837AE" w14:textId="77777777" w:rsidR="00B446A7" w:rsidRDefault="00B446A7" w:rsidP="00F60597"/>
    <w:p w14:paraId="7AD269D4" w14:textId="2DD21BCF" w:rsidR="00B446A7" w:rsidRPr="007E1CF4" w:rsidRDefault="00B446A7" w:rsidP="00B446A7">
      <w:pPr>
        <w:jc w:val="center"/>
        <w:rPr>
          <w:b/>
          <w:bCs/>
        </w:rPr>
      </w:pPr>
      <w:r w:rsidRPr="007E1CF4">
        <w:rPr>
          <w:b/>
          <w:bCs/>
        </w:rPr>
        <w:t xml:space="preserve">§ </w:t>
      </w:r>
      <w:r>
        <w:rPr>
          <w:b/>
          <w:bCs/>
        </w:rPr>
        <w:t>9</w:t>
      </w:r>
    </w:p>
    <w:p w14:paraId="7532DDA1" w14:textId="77777777" w:rsidR="00B446A7" w:rsidRDefault="00B446A7" w:rsidP="00B446A7">
      <w:pPr>
        <w:rPr>
          <w:b/>
          <w:bCs/>
        </w:rPr>
      </w:pPr>
    </w:p>
    <w:p w14:paraId="3B6D64BF" w14:textId="2B584809" w:rsidR="00B446A7" w:rsidRDefault="00B446A7" w:rsidP="00B446A7">
      <w:pPr>
        <w:jc w:val="left"/>
      </w:pPr>
      <w:r w:rsidRPr="007E1CF4">
        <w:t xml:space="preserve">I hvidvaskloven, </w:t>
      </w:r>
      <w:r>
        <w:t xml:space="preserve">som sat i kraft for Færøerne, jf. § 1, </w:t>
      </w:r>
      <w:r w:rsidRPr="007E1CF4">
        <w:t xml:space="preserve">foretages </w:t>
      </w:r>
      <w:r>
        <w:t xml:space="preserve">i medfør af § 2 i lov nr. 480 af 12. maj 2023 </w:t>
      </w:r>
      <w:r w:rsidRPr="007E1CF4">
        <w:t>følgende ændringer:</w:t>
      </w:r>
    </w:p>
    <w:p w14:paraId="6EBEC595" w14:textId="77777777" w:rsidR="00B446A7" w:rsidRDefault="00B446A7" w:rsidP="00B446A7">
      <w:pPr>
        <w:jc w:val="left"/>
      </w:pPr>
    </w:p>
    <w:p w14:paraId="61A8BE49" w14:textId="5DB0412B" w:rsidR="00596B2D" w:rsidRDefault="00596B2D" w:rsidP="00596B2D">
      <w:pPr>
        <w:jc w:val="left"/>
      </w:pPr>
      <w:r w:rsidRPr="00596B2D">
        <w:rPr>
          <w:b/>
          <w:bCs/>
        </w:rPr>
        <w:t>1.</w:t>
      </w:r>
      <w:r>
        <w:rPr>
          <w:b/>
          <w:bCs/>
        </w:rPr>
        <w:t xml:space="preserve"> </w:t>
      </w:r>
      <w:r w:rsidR="00B446A7" w:rsidRPr="00596B2D">
        <w:rPr>
          <w:i/>
          <w:iCs/>
        </w:rPr>
        <w:t>§ 1, stk. 1, nr. 26</w:t>
      </w:r>
      <w:r w:rsidR="00B446A7" w:rsidRPr="00666CBC">
        <w:rPr>
          <w:i/>
          <w:iCs/>
        </w:rPr>
        <w:t>,</w:t>
      </w:r>
      <w:r w:rsidR="00B446A7">
        <w:t xml:space="preserve"> affattes således: </w:t>
      </w:r>
    </w:p>
    <w:p w14:paraId="27AEC8EF" w14:textId="260D2748" w:rsidR="00B446A7" w:rsidRDefault="00B446A7" w:rsidP="00666CBC">
      <w:r>
        <w:t>»26) Udbydere af finansielle tjenester relateret til en udsteders udbud eller salg af virtuelle valutaer.«</w:t>
      </w:r>
    </w:p>
    <w:p w14:paraId="775F5090" w14:textId="77777777" w:rsidR="00B446A7" w:rsidRDefault="00B446A7" w:rsidP="00B446A7">
      <w:pPr>
        <w:jc w:val="left"/>
      </w:pPr>
    </w:p>
    <w:p w14:paraId="1EA2990E" w14:textId="20567A13" w:rsidR="00B446A7" w:rsidRDefault="00B446A7" w:rsidP="00B446A7">
      <w:pPr>
        <w:jc w:val="left"/>
      </w:pPr>
      <w:r w:rsidRPr="00954FB3">
        <w:rPr>
          <w:b/>
          <w:bCs/>
        </w:rPr>
        <w:t>2.</w:t>
      </w:r>
      <w:r>
        <w:t xml:space="preserve"> I </w:t>
      </w:r>
      <w:r w:rsidRPr="008F5BB8">
        <w:rPr>
          <w:i/>
          <w:iCs/>
        </w:rPr>
        <w:t>§ 2, nr. 8, litra a</w:t>
      </w:r>
      <w:r w:rsidRPr="00666CBC">
        <w:rPr>
          <w:i/>
          <w:iCs/>
        </w:rPr>
        <w:t>,</w:t>
      </w:r>
      <w:r>
        <w:t xml:space="preserve"> ændres »og viceminister eller assisterende minister« til: », viceminister</w:t>
      </w:r>
      <w:r w:rsidR="002F77DB">
        <w:t>, vicelagmand</w:t>
      </w:r>
      <w:r>
        <w:t xml:space="preserve"> eller assisterende minister og særlig rådgiver for en minister«.</w:t>
      </w:r>
    </w:p>
    <w:p w14:paraId="5ED6618F" w14:textId="77777777" w:rsidR="00B446A7" w:rsidRDefault="00B446A7" w:rsidP="00B446A7">
      <w:pPr>
        <w:jc w:val="left"/>
      </w:pPr>
    </w:p>
    <w:p w14:paraId="6169A2FC" w14:textId="77777777" w:rsidR="00B446A7" w:rsidRDefault="00B446A7" w:rsidP="00B446A7">
      <w:pPr>
        <w:jc w:val="left"/>
      </w:pPr>
      <w:r w:rsidRPr="00954FB3">
        <w:rPr>
          <w:b/>
          <w:bCs/>
        </w:rPr>
        <w:t>3.</w:t>
      </w:r>
      <w:r>
        <w:t xml:space="preserve"> I </w:t>
      </w:r>
      <w:r w:rsidRPr="008F5BB8">
        <w:rPr>
          <w:i/>
          <w:iCs/>
        </w:rPr>
        <w:t>§ 10, stk. 1, nr. 2, litra d</w:t>
      </w:r>
      <w:r w:rsidRPr="00666CBC">
        <w:rPr>
          <w:i/>
          <w:iCs/>
        </w:rPr>
        <w:t xml:space="preserve">, </w:t>
      </w:r>
      <w:r>
        <w:t>ændres »udstedelse af virtuel valuta« til: »tjenester relateret til udstedelse af virtuel valuta«.</w:t>
      </w:r>
    </w:p>
    <w:p w14:paraId="2C9E76F0" w14:textId="77777777" w:rsidR="00B446A7" w:rsidRDefault="00B446A7" w:rsidP="00B446A7">
      <w:pPr>
        <w:jc w:val="left"/>
      </w:pPr>
    </w:p>
    <w:p w14:paraId="5645A369" w14:textId="77777777" w:rsidR="00B446A7" w:rsidRDefault="00B446A7" w:rsidP="00B446A7">
      <w:pPr>
        <w:jc w:val="left"/>
      </w:pPr>
      <w:r w:rsidRPr="00954FB3">
        <w:rPr>
          <w:b/>
          <w:bCs/>
        </w:rPr>
        <w:t>4.</w:t>
      </w:r>
      <w:r>
        <w:t xml:space="preserve"> I </w:t>
      </w:r>
      <w:r w:rsidRPr="008F5BB8">
        <w:rPr>
          <w:i/>
          <w:iCs/>
        </w:rPr>
        <w:t>§ 38, stk. 6</w:t>
      </w:r>
      <w:r w:rsidRPr="00666CBC">
        <w:rPr>
          <w:i/>
          <w:iCs/>
        </w:rPr>
        <w:t xml:space="preserve">, </w:t>
      </w:r>
      <w:r>
        <w:t>ændres »forudsat at« til: »forudsat«.</w:t>
      </w:r>
    </w:p>
    <w:p w14:paraId="489AE543" w14:textId="77777777" w:rsidR="00B446A7" w:rsidRDefault="00B446A7" w:rsidP="00B446A7">
      <w:pPr>
        <w:jc w:val="left"/>
      </w:pPr>
    </w:p>
    <w:p w14:paraId="1F35611D" w14:textId="77777777" w:rsidR="00911CD6" w:rsidRPr="00911CD6" w:rsidRDefault="00911CD6" w:rsidP="00911CD6">
      <w:r w:rsidRPr="00911CD6">
        <w:rPr>
          <w:b/>
          <w:bCs/>
        </w:rPr>
        <w:lastRenderedPageBreak/>
        <w:t>5.</w:t>
      </w:r>
      <w:r w:rsidRPr="00911CD6">
        <w:t xml:space="preserve"> I </w:t>
      </w:r>
      <w:r w:rsidRPr="008F5BB8">
        <w:rPr>
          <w:i/>
          <w:iCs/>
        </w:rPr>
        <w:t>§ 41, nr. 2</w:t>
      </w:r>
      <w:r w:rsidRPr="00666CBC">
        <w:rPr>
          <w:i/>
          <w:iCs/>
        </w:rPr>
        <w:t>,</w:t>
      </w:r>
      <w:r w:rsidRPr="00911CD6">
        <w:t xml:space="preserve"> indsættes efter »ledelsesansvarlige«: »og valutavirksomhedens ejere af kvalificerede andele, jf. § 5, stk. 3, i lov om finansiel virksomhed,«.</w:t>
      </w:r>
    </w:p>
    <w:p w14:paraId="47EA429B" w14:textId="77777777" w:rsidR="00911CD6" w:rsidRDefault="00911CD6" w:rsidP="00911CD6"/>
    <w:p w14:paraId="5DDB60C3" w14:textId="7568935D" w:rsidR="00911CD6" w:rsidRPr="00911CD6" w:rsidRDefault="00911CD6" w:rsidP="00911CD6">
      <w:r w:rsidRPr="00911CD6">
        <w:rPr>
          <w:b/>
          <w:bCs/>
        </w:rPr>
        <w:t>6.</w:t>
      </w:r>
      <w:r w:rsidRPr="00911CD6">
        <w:t xml:space="preserve"> I </w:t>
      </w:r>
      <w:r w:rsidRPr="008F5BB8">
        <w:rPr>
          <w:i/>
          <w:iCs/>
        </w:rPr>
        <w:t>§ 42, nr. 5</w:t>
      </w:r>
      <w:r w:rsidRPr="00666CBC">
        <w:rPr>
          <w:i/>
          <w:iCs/>
        </w:rPr>
        <w:t>,</w:t>
      </w:r>
      <w:r w:rsidRPr="00911CD6">
        <w:t xml:space="preserve"> indsættes efter »ledelsesansvarlige for virksomheden«: »og virksomhedens ejere af kvalificerede andele, jf. § 5, stk. 3, i lov om finansiel virksomhed«.</w:t>
      </w:r>
    </w:p>
    <w:p w14:paraId="4FEA516C" w14:textId="77777777" w:rsidR="00911CD6" w:rsidRDefault="00911CD6" w:rsidP="00911CD6"/>
    <w:p w14:paraId="441C00C4" w14:textId="5D7AED31" w:rsidR="00911CD6" w:rsidRDefault="00911CD6" w:rsidP="00911CD6">
      <w:r w:rsidRPr="00911CD6">
        <w:rPr>
          <w:b/>
          <w:bCs/>
        </w:rPr>
        <w:t>7.</w:t>
      </w:r>
      <w:r w:rsidRPr="00911CD6">
        <w:t xml:space="preserve"> </w:t>
      </w:r>
      <w:r w:rsidRPr="008F5BB8">
        <w:rPr>
          <w:i/>
          <w:iCs/>
        </w:rPr>
        <w:t>§ 42, nr. 6</w:t>
      </w:r>
      <w:r w:rsidRPr="00666CBC">
        <w:rPr>
          <w:i/>
          <w:iCs/>
        </w:rPr>
        <w:t xml:space="preserve">, </w:t>
      </w:r>
      <w:r w:rsidRPr="00911CD6">
        <w:t>affattes således:</w:t>
      </w:r>
    </w:p>
    <w:p w14:paraId="01563693" w14:textId="77777777" w:rsidR="00911CD6" w:rsidRPr="00911CD6" w:rsidRDefault="00911CD6" w:rsidP="00911CD6">
      <w:r w:rsidRPr="00911CD6">
        <w:t>»6) Oplysninger om ejere af kvalificerede andele i virksomheden, jf. § 5, stk. 3, i lov om finansiel virksomhed, eller, hvor valutaveksling udøves af en enkeltmandsvirksomhed, indehaveren og størrelsen af disses andele.«</w:t>
      </w:r>
    </w:p>
    <w:p w14:paraId="5EE8C543" w14:textId="77777777" w:rsidR="00911CD6" w:rsidRDefault="00911CD6" w:rsidP="00911CD6"/>
    <w:p w14:paraId="637850EF" w14:textId="78A14BE0" w:rsidR="00911CD6" w:rsidRPr="00911CD6" w:rsidRDefault="00911CD6" w:rsidP="00911CD6">
      <w:r w:rsidRPr="00911CD6">
        <w:rPr>
          <w:b/>
          <w:bCs/>
        </w:rPr>
        <w:t>8.</w:t>
      </w:r>
      <w:r w:rsidRPr="00911CD6">
        <w:t xml:space="preserve"> I </w:t>
      </w:r>
      <w:r w:rsidRPr="008F5BB8">
        <w:rPr>
          <w:i/>
          <w:iCs/>
        </w:rPr>
        <w:t>§ 45, stk. 1</w:t>
      </w:r>
      <w:r w:rsidRPr="00666CBC">
        <w:rPr>
          <w:i/>
          <w:iCs/>
        </w:rPr>
        <w:t xml:space="preserve">, </w:t>
      </w:r>
      <w:r w:rsidRPr="00911CD6">
        <w:t>indsættes efter »ledelsesansvarlige«: »og valutavekslingsvirksomhedens ejere af kvalificerede andele, jf. § 5, stk. 3, i lov om finansiel virksomhed,«.</w:t>
      </w:r>
    </w:p>
    <w:p w14:paraId="2323D3FC" w14:textId="77777777" w:rsidR="00911CD6" w:rsidRDefault="00911CD6" w:rsidP="00911CD6"/>
    <w:p w14:paraId="19C5CF1F" w14:textId="2B48CE6C" w:rsidR="00911CD6" w:rsidRPr="00911CD6" w:rsidRDefault="00911CD6" w:rsidP="00911CD6">
      <w:r w:rsidRPr="00911CD6">
        <w:rPr>
          <w:b/>
          <w:bCs/>
        </w:rPr>
        <w:t>9.</w:t>
      </w:r>
      <w:r w:rsidRPr="00911CD6">
        <w:t xml:space="preserve"> I </w:t>
      </w:r>
      <w:r w:rsidRPr="008F5BB8">
        <w:rPr>
          <w:i/>
          <w:iCs/>
        </w:rPr>
        <w:t>§ 45, stk. 2, 1. pkt.</w:t>
      </w:r>
      <w:r w:rsidRPr="00666CBC">
        <w:rPr>
          <w:i/>
          <w:iCs/>
        </w:rPr>
        <w:t xml:space="preserve">, </w:t>
      </w:r>
      <w:r w:rsidRPr="00911CD6">
        <w:t>indsættes efter »ledelsesansvarlige«: »og valutavekslingsvirksomhedens ejere af kvalificerede andele, jf. § 5, stk. 3, i lov om finansiel virksomhed,«, og efter »virksomhedens ledelse« indsættes: », indtræden som ejer af kvalificerede andele«.</w:t>
      </w:r>
    </w:p>
    <w:p w14:paraId="7A0FC23B" w14:textId="77777777" w:rsidR="00911CD6" w:rsidRDefault="00911CD6" w:rsidP="00911CD6"/>
    <w:p w14:paraId="54A7A596" w14:textId="41872E80" w:rsidR="00911CD6" w:rsidRPr="00911CD6" w:rsidRDefault="00911CD6" w:rsidP="00911CD6">
      <w:r w:rsidRPr="00911CD6">
        <w:rPr>
          <w:b/>
          <w:bCs/>
        </w:rPr>
        <w:t>10.</w:t>
      </w:r>
      <w:r w:rsidRPr="00911CD6">
        <w:t xml:space="preserve"> I </w:t>
      </w:r>
      <w:r w:rsidRPr="008F5BB8">
        <w:rPr>
          <w:i/>
          <w:iCs/>
        </w:rPr>
        <w:t>§ 55, stk. 1, 1. pkt</w:t>
      </w:r>
      <w:r w:rsidRPr="00911CD6">
        <w:t>.</w:t>
      </w:r>
      <w:r w:rsidRPr="00666CBC">
        <w:rPr>
          <w:i/>
          <w:iCs/>
        </w:rPr>
        <w:t>,</w:t>
      </w:r>
      <w:r w:rsidRPr="00911CD6">
        <w:t xml:space="preserve"> ændres »givet« til: »tildelt«.</w:t>
      </w:r>
    </w:p>
    <w:p w14:paraId="511E8719" w14:textId="77777777" w:rsidR="00911CD6" w:rsidRDefault="00911CD6" w:rsidP="00911CD6"/>
    <w:p w14:paraId="3E8856B7" w14:textId="6DAE41C8" w:rsidR="00911CD6" w:rsidRPr="00911CD6" w:rsidRDefault="00911CD6" w:rsidP="00911CD6">
      <w:r w:rsidRPr="00911CD6">
        <w:rPr>
          <w:b/>
          <w:bCs/>
        </w:rPr>
        <w:t>11.</w:t>
      </w:r>
      <w:r w:rsidRPr="00911CD6">
        <w:t xml:space="preserve"> I </w:t>
      </w:r>
      <w:r w:rsidRPr="008F5BB8">
        <w:rPr>
          <w:i/>
          <w:iCs/>
        </w:rPr>
        <w:t>§ 78 a, stk. 1</w:t>
      </w:r>
      <w:r w:rsidRPr="00666CBC">
        <w:rPr>
          <w:i/>
          <w:iCs/>
        </w:rPr>
        <w:t xml:space="preserve">, </w:t>
      </w:r>
      <w:r w:rsidRPr="00911CD6">
        <w:t>indsættes efter »§ 48, stk. 1«: »og 2«.</w:t>
      </w:r>
    </w:p>
    <w:p w14:paraId="53BDA266" w14:textId="77777777" w:rsidR="00911CD6" w:rsidRDefault="00911CD6" w:rsidP="00911CD6"/>
    <w:p w14:paraId="238BEE72" w14:textId="673BFB9C" w:rsidR="00B446A7" w:rsidRDefault="00911CD6" w:rsidP="00911CD6">
      <w:r w:rsidRPr="00911CD6">
        <w:rPr>
          <w:b/>
          <w:bCs/>
        </w:rPr>
        <w:t>12.</w:t>
      </w:r>
      <w:r w:rsidRPr="00911CD6">
        <w:t xml:space="preserve"> </w:t>
      </w:r>
      <w:r>
        <w:t xml:space="preserve">(Sættes ikke i kraft for Færøerne) </w:t>
      </w:r>
    </w:p>
    <w:p w14:paraId="2E946350" w14:textId="77777777" w:rsidR="00911CD6" w:rsidRDefault="00911CD6" w:rsidP="00911CD6"/>
    <w:p w14:paraId="72F929AE" w14:textId="0939BB7C" w:rsidR="00911CD6" w:rsidRPr="007E1CF4" w:rsidRDefault="00911CD6" w:rsidP="00911CD6">
      <w:pPr>
        <w:jc w:val="center"/>
        <w:rPr>
          <w:b/>
          <w:bCs/>
        </w:rPr>
      </w:pPr>
      <w:r w:rsidRPr="007E1CF4">
        <w:rPr>
          <w:b/>
          <w:bCs/>
        </w:rPr>
        <w:t xml:space="preserve">§ </w:t>
      </w:r>
      <w:r>
        <w:rPr>
          <w:b/>
          <w:bCs/>
        </w:rPr>
        <w:t>10</w:t>
      </w:r>
    </w:p>
    <w:p w14:paraId="5BC0F933" w14:textId="77777777" w:rsidR="00911CD6" w:rsidRDefault="00911CD6" w:rsidP="00911CD6">
      <w:pPr>
        <w:rPr>
          <w:b/>
          <w:bCs/>
        </w:rPr>
      </w:pPr>
    </w:p>
    <w:p w14:paraId="1524FADD" w14:textId="71563645" w:rsidR="00911CD6" w:rsidRDefault="00911CD6" w:rsidP="00911CD6">
      <w:pPr>
        <w:jc w:val="left"/>
      </w:pPr>
      <w:r w:rsidRPr="007E1CF4">
        <w:t xml:space="preserve">I </w:t>
      </w:r>
      <w:r w:rsidR="009A278F">
        <w:t xml:space="preserve">lov </w:t>
      </w:r>
      <w:r w:rsidR="009A278F" w:rsidRPr="009A278F">
        <w:t>om forebyggende foranstaltninger mod hvidvask og finansiering af terrorisme</w:t>
      </w:r>
      <w:r w:rsidRPr="007E1CF4">
        <w:t xml:space="preserve">, </w:t>
      </w:r>
      <w:r>
        <w:t>som sat i kraft for Færøerne, jf. § 1,</w:t>
      </w:r>
      <w:r w:rsidR="00FA272E">
        <w:t xml:space="preserve"> affattes</w:t>
      </w:r>
      <w:r>
        <w:t xml:space="preserve"> § 27, stk. 1,</w:t>
      </w:r>
      <w:r w:rsidR="00FA272E">
        <w:t xml:space="preserve"> i medfør af </w:t>
      </w:r>
      <w:r>
        <w:t xml:space="preserve">lov nr. 651 af 8. juni 2017 </w:t>
      </w:r>
      <w:r w:rsidR="00FA272E">
        <w:t>således</w:t>
      </w:r>
      <w:r w:rsidRPr="007E1CF4">
        <w:t>:</w:t>
      </w:r>
    </w:p>
    <w:p w14:paraId="1E7DF502" w14:textId="77777777" w:rsidR="00911CD6" w:rsidRDefault="00911CD6" w:rsidP="00911CD6"/>
    <w:p w14:paraId="64902D0E" w14:textId="45C0BC4D" w:rsidR="00911CD6" w:rsidRDefault="00FA272E" w:rsidP="00C8123E">
      <w:r w:rsidRPr="00666CBC">
        <w:rPr>
          <w:b/>
          <w:bCs/>
        </w:rPr>
        <w:t>»</w:t>
      </w:r>
      <w:r w:rsidR="00C8123E" w:rsidRPr="00FA272E">
        <w:rPr>
          <w:b/>
          <w:bCs/>
        </w:rPr>
        <w:t>§ 27</w:t>
      </w:r>
      <w:r w:rsidR="00C8123E" w:rsidRPr="00666CBC">
        <w:rPr>
          <w:b/>
          <w:bCs/>
        </w:rPr>
        <w:t>.</w:t>
      </w:r>
      <w:r w:rsidR="00C8123E">
        <w:t xml:space="preserve"> Advokater er undtaget fra pligten i § 26 til at foretage underretning på baggrund af oplysninger, som disse modtager fra eller indhenter om en klient, i forbindelse med at advokaten fastslår den pågældende klients retsstilling eller forsvarer eller repræsenterer denne under eller i forbindelse med en retssag, herunder rådgiver om at indlede eller undgå et sagsanlæg. Dette gælder </w:t>
      </w:r>
      <w:proofErr w:type="gramStart"/>
      <w:r w:rsidR="00C8123E">
        <w:t>endvidere</w:t>
      </w:r>
      <w:proofErr w:type="gramEnd"/>
      <w:r w:rsidR="00C8123E">
        <w:t xml:space="preserve"> sager, der føres i </w:t>
      </w:r>
      <w:r w:rsidR="00C8123E" w:rsidRPr="00C8123E">
        <w:t>Førova Kærustovni</w:t>
      </w:r>
      <w:r w:rsidR="00C8123E">
        <w:t>, og sager ved en voldgiftsret. Undtagelserne gælder, uanset om oplysningerne modtages før, under eller efter retssagen eller sagen, eller i forbindelse med at den pågældende klients retsstilling fastslås</w:t>
      </w:r>
      <w:r w:rsidR="00CE4E98" w:rsidRPr="00911CD6">
        <w:t>«</w:t>
      </w:r>
      <w:r w:rsidR="00C8123E">
        <w:t>.</w:t>
      </w:r>
    </w:p>
    <w:p w14:paraId="6B0AF1F9" w14:textId="77777777" w:rsidR="00911CD6" w:rsidRDefault="00911CD6" w:rsidP="00911CD6"/>
    <w:p w14:paraId="6FB67FEE" w14:textId="51A701B1" w:rsidR="00C8123E" w:rsidRPr="007E1CF4" w:rsidRDefault="00C8123E" w:rsidP="00C8123E">
      <w:pPr>
        <w:jc w:val="center"/>
        <w:rPr>
          <w:b/>
          <w:bCs/>
        </w:rPr>
      </w:pPr>
      <w:r w:rsidRPr="007E1CF4">
        <w:rPr>
          <w:b/>
          <w:bCs/>
        </w:rPr>
        <w:t xml:space="preserve">§ </w:t>
      </w:r>
      <w:r>
        <w:rPr>
          <w:b/>
          <w:bCs/>
        </w:rPr>
        <w:t>11</w:t>
      </w:r>
    </w:p>
    <w:p w14:paraId="0CB9CD7C" w14:textId="77777777" w:rsidR="00C8123E" w:rsidRDefault="00C8123E" w:rsidP="00911CD6"/>
    <w:p w14:paraId="33149D0F" w14:textId="31E2A736" w:rsidR="009A3D84" w:rsidRDefault="009A278F" w:rsidP="009A278F">
      <w:r w:rsidRPr="009A278F">
        <w:t xml:space="preserve">Kongelig anordning </w:t>
      </w:r>
      <w:r w:rsidR="00CE4E98" w:rsidRPr="00CE4E98">
        <w:t>om ikrafttræden for Færøerne af lov om forebyggende foranstaltninger mod hvidvask af udbytte og finansiering af terrorisme</w:t>
      </w:r>
      <w:r w:rsidR="00CE4E98">
        <w:t>,</w:t>
      </w:r>
      <w:r w:rsidRPr="009A278F">
        <w:t xml:space="preserve"> </w:t>
      </w:r>
      <w:r w:rsidR="00CE4E98" w:rsidRPr="009A278F">
        <w:t>nr. 79 af 26. januar 2010</w:t>
      </w:r>
      <w:r w:rsidR="00CE4E98">
        <w:t>,</w:t>
      </w:r>
      <w:r w:rsidR="00CE4E98" w:rsidRPr="009A278F">
        <w:t xml:space="preserve"> </w:t>
      </w:r>
      <w:r w:rsidRPr="009A278F">
        <w:t>ophæves</w:t>
      </w:r>
      <w:r w:rsidR="009A3D84">
        <w:t>.</w:t>
      </w:r>
    </w:p>
    <w:p w14:paraId="094CD5AF" w14:textId="77777777" w:rsidR="009A3D84" w:rsidRDefault="009A3D84" w:rsidP="00911CD6"/>
    <w:p w14:paraId="581A4F08" w14:textId="110551E8" w:rsidR="00FA272E" w:rsidRPr="007868CF" w:rsidRDefault="00FA272E" w:rsidP="00FA272E">
      <w:pPr>
        <w:jc w:val="center"/>
        <w:rPr>
          <w:b/>
          <w:szCs w:val="21"/>
        </w:rPr>
      </w:pPr>
      <w:r w:rsidRPr="007868CF">
        <w:rPr>
          <w:b/>
          <w:szCs w:val="21"/>
        </w:rPr>
        <w:t xml:space="preserve">§ </w:t>
      </w:r>
      <w:r>
        <w:rPr>
          <w:b/>
          <w:szCs w:val="21"/>
        </w:rPr>
        <w:t>12</w:t>
      </w:r>
    </w:p>
    <w:p w14:paraId="0456B988" w14:textId="77777777" w:rsidR="00FA272E" w:rsidRDefault="00FA272E" w:rsidP="00FA272E">
      <w:pPr>
        <w:jc w:val="left"/>
        <w:rPr>
          <w:szCs w:val="21"/>
        </w:rPr>
      </w:pPr>
    </w:p>
    <w:p w14:paraId="0E184A43" w14:textId="7F90488B" w:rsidR="00FA272E" w:rsidRPr="00FC3D24" w:rsidRDefault="00FA272E" w:rsidP="00FA272E">
      <w:pPr>
        <w:jc w:val="left"/>
        <w:rPr>
          <w:szCs w:val="21"/>
        </w:rPr>
      </w:pPr>
      <w:r w:rsidRPr="007A2001">
        <w:rPr>
          <w:i/>
          <w:szCs w:val="21"/>
        </w:rPr>
        <w:t>Stk. 1.</w:t>
      </w:r>
      <w:r>
        <w:rPr>
          <w:szCs w:val="21"/>
        </w:rPr>
        <w:t xml:space="preserve"> Anordningen træder i kraft den </w:t>
      </w:r>
      <w:r w:rsidR="009B37B4">
        <w:rPr>
          <w:szCs w:val="21"/>
        </w:rPr>
        <w:t>1. juli 2024</w:t>
      </w:r>
      <w:r>
        <w:rPr>
          <w:szCs w:val="21"/>
        </w:rPr>
        <w:t>.</w:t>
      </w:r>
    </w:p>
    <w:p w14:paraId="54E59420" w14:textId="77777777" w:rsidR="00FA272E" w:rsidRDefault="00FA272E" w:rsidP="00FA272E">
      <w:pPr>
        <w:jc w:val="left"/>
        <w:rPr>
          <w:szCs w:val="21"/>
        </w:rPr>
      </w:pPr>
    </w:p>
    <w:p w14:paraId="06707AC7" w14:textId="77777777" w:rsidR="00FA272E" w:rsidRDefault="00FA272E" w:rsidP="00FA272E">
      <w:pPr>
        <w:jc w:val="left"/>
        <w:rPr>
          <w:szCs w:val="21"/>
        </w:rPr>
      </w:pPr>
    </w:p>
    <w:p w14:paraId="2422CE08" w14:textId="77777777" w:rsidR="00FA272E" w:rsidRPr="00076E34" w:rsidRDefault="00FA272E" w:rsidP="00FA272E">
      <w:pPr>
        <w:jc w:val="left"/>
        <w:rPr>
          <w:rFonts w:cs="Arial"/>
          <w:szCs w:val="21"/>
        </w:rPr>
      </w:pPr>
    </w:p>
    <w:p w14:paraId="6646C30C" w14:textId="77777777" w:rsidR="00FA272E" w:rsidRPr="00076E34" w:rsidRDefault="00FA272E" w:rsidP="00FA272E">
      <w:pPr>
        <w:spacing w:line="240" w:lineRule="auto"/>
        <w:ind w:firstLine="240"/>
        <w:jc w:val="center"/>
        <w:rPr>
          <w:rFonts w:eastAsia="Times New Roman" w:cs="Arial"/>
          <w:i/>
          <w:iCs/>
          <w:color w:val="000000"/>
          <w:szCs w:val="21"/>
          <w:lang w:eastAsia="da-DK"/>
        </w:rPr>
      </w:pPr>
      <w:r w:rsidRPr="00076E34">
        <w:rPr>
          <w:rFonts w:eastAsia="Times New Roman" w:cs="Arial"/>
          <w:i/>
          <w:iCs/>
          <w:color w:val="000000"/>
          <w:szCs w:val="21"/>
          <w:lang w:eastAsia="da-DK"/>
        </w:rPr>
        <w:t>Givet på …, den ...</w:t>
      </w:r>
    </w:p>
    <w:p w14:paraId="43B5A1C3" w14:textId="77777777" w:rsidR="00FA272E" w:rsidRPr="00076E34" w:rsidRDefault="00FA272E" w:rsidP="00FA272E">
      <w:pPr>
        <w:spacing w:line="240" w:lineRule="auto"/>
        <w:ind w:firstLine="240"/>
        <w:jc w:val="center"/>
        <w:rPr>
          <w:rFonts w:eastAsia="Times New Roman" w:cs="Arial"/>
          <w:color w:val="000000"/>
          <w:szCs w:val="21"/>
          <w:lang w:eastAsia="da-DK"/>
        </w:rPr>
      </w:pPr>
    </w:p>
    <w:p w14:paraId="2A0BA017" w14:textId="77777777" w:rsidR="00FA272E" w:rsidRPr="00076E34" w:rsidRDefault="00FA272E" w:rsidP="00FA272E">
      <w:pPr>
        <w:spacing w:line="240" w:lineRule="auto"/>
        <w:ind w:firstLine="240"/>
        <w:jc w:val="center"/>
        <w:rPr>
          <w:rFonts w:eastAsia="Times New Roman" w:cs="Arial"/>
          <w:color w:val="000000"/>
          <w:szCs w:val="21"/>
          <w:lang w:eastAsia="da-DK"/>
        </w:rPr>
      </w:pPr>
      <w:r w:rsidRPr="00076E34">
        <w:rPr>
          <w:rFonts w:eastAsia="Times New Roman" w:cs="Arial"/>
          <w:color w:val="000000"/>
          <w:szCs w:val="21"/>
          <w:lang w:eastAsia="da-DK"/>
        </w:rPr>
        <w:t xml:space="preserve">Under </w:t>
      </w:r>
      <w:proofErr w:type="gramStart"/>
      <w:r w:rsidRPr="00076E34">
        <w:rPr>
          <w:rFonts w:eastAsia="Times New Roman" w:cs="Arial"/>
          <w:color w:val="000000"/>
          <w:szCs w:val="21"/>
          <w:lang w:eastAsia="da-DK"/>
        </w:rPr>
        <w:t>Vor</w:t>
      </w:r>
      <w:proofErr w:type="gramEnd"/>
      <w:r w:rsidRPr="00076E34">
        <w:rPr>
          <w:rFonts w:eastAsia="Times New Roman" w:cs="Arial"/>
          <w:color w:val="000000"/>
          <w:szCs w:val="21"/>
          <w:lang w:eastAsia="da-DK"/>
        </w:rPr>
        <w:t xml:space="preserve"> Kongelige Hånd og Segl</w:t>
      </w:r>
    </w:p>
    <w:p w14:paraId="1B095B90" w14:textId="77777777" w:rsidR="00FA272E" w:rsidRPr="00076E34" w:rsidRDefault="00FA272E" w:rsidP="00FA272E">
      <w:pPr>
        <w:spacing w:line="240" w:lineRule="auto"/>
        <w:ind w:firstLine="240"/>
        <w:rPr>
          <w:rFonts w:eastAsia="Times New Roman" w:cs="Arial"/>
          <w:color w:val="000000"/>
          <w:szCs w:val="21"/>
          <w:lang w:eastAsia="da-DK"/>
        </w:rPr>
      </w:pPr>
    </w:p>
    <w:p w14:paraId="382E6605" w14:textId="77777777" w:rsidR="00FA272E" w:rsidRPr="00911CD6" w:rsidRDefault="00FA272E" w:rsidP="00911CD6"/>
    <w:sectPr w:rsidR="00FA272E" w:rsidRPr="00911CD6" w:rsidSect="007E75F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7F46" w14:textId="77777777" w:rsidR="002640BD" w:rsidRDefault="002640BD" w:rsidP="00DC0DFF">
      <w:pPr>
        <w:spacing w:line="240" w:lineRule="auto"/>
      </w:pPr>
      <w:r>
        <w:separator/>
      </w:r>
    </w:p>
  </w:endnote>
  <w:endnote w:type="continuationSeparator" w:id="0">
    <w:p w14:paraId="4215AD6F" w14:textId="77777777" w:rsidR="002640BD" w:rsidRDefault="002640BD" w:rsidP="00DC0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F7CF" w14:textId="77777777" w:rsidR="002640BD" w:rsidRDefault="002640BD" w:rsidP="00DC0DFF">
      <w:pPr>
        <w:spacing w:line="240" w:lineRule="auto"/>
      </w:pPr>
      <w:r>
        <w:separator/>
      </w:r>
    </w:p>
  </w:footnote>
  <w:footnote w:type="continuationSeparator" w:id="0">
    <w:p w14:paraId="1727A3C1" w14:textId="77777777" w:rsidR="002640BD" w:rsidRDefault="002640BD" w:rsidP="00DC0DFF">
      <w:pPr>
        <w:spacing w:line="240" w:lineRule="auto"/>
      </w:pPr>
      <w:r>
        <w:continuationSeparator/>
      </w:r>
    </w:p>
  </w:footnote>
  <w:footnote w:id="1">
    <w:p w14:paraId="27FB47D8" w14:textId="22A9B541" w:rsidR="00DC0DFF" w:rsidRDefault="00DC0DFF" w:rsidP="00DC0DFF">
      <w:pPr>
        <w:pStyle w:val="Fodnotetekst"/>
      </w:pPr>
      <w:r>
        <w:rPr>
          <w:rStyle w:val="Fodnotehenvisning"/>
        </w:rPr>
        <w:footnoteRef/>
      </w:r>
      <w:r>
        <w:t xml:space="preserve"> Bestemmelsen har følgende ordlyd: </w:t>
      </w:r>
      <w:r w:rsidRPr="0095241B">
        <w:t>»</w:t>
      </w:r>
      <w:r w:rsidR="003C1918" w:rsidRPr="003C1918">
        <w:t>§§ 1-5 og 8-10 kan ved kongelig anordning sættes helt eller delvis i kraft for Færøerne med de ændringer, som de færøske forhold tilsiger</w:t>
      </w:r>
      <w:r w:rsidR="003C1918">
        <w:t>.</w:t>
      </w:r>
      <w:r w:rsidRPr="0095241B">
        <w:t>«</w:t>
      </w:r>
    </w:p>
  </w:footnote>
  <w:footnote w:id="2">
    <w:p w14:paraId="18840CBD" w14:textId="77777777" w:rsidR="00F32A43" w:rsidRDefault="00F32A43" w:rsidP="00F32A43">
      <w:pPr>
        <w:pStyle w:val="Fodnotetekst"/>
      </w:pPr>
      <w:r>
        <w:rPr>
          <w:rStyle w:val="Fodnotehenvisning"/>
        </w:rPr>
        <w:footnoteRef/>
      </w:r>
      <w:r>
        <w:t xml:space="preserve"> Bestemmelsen har følgende ordlyd: </w:t>
      </w:r>
      <w:r w:rsidRPr="0095241B">
        <w:t>»</w:t>
      </w:r>
      <w:r>
        <w:t>§ 307 Loven gælder ikke for Færøerne og Grønland, men kan ved kongelig anordning helt eller delvis sættes i kraft for Færøerne og Grønland med de ændringer, som henholdsvis de færøske og de grønlandske forhold tilsiger.</w:t>
      </w:r>
      <w:r w:rsidRPr="0095241B">
        <w:t>«</w:t>
      </w:r>
    </w:p>
  </w:footnote>
  <w:footnote w:id="3">
    <w:p w14:paraId="6DFFEF60" w14:textId="5461A814" w:rsidR="00DC0DFF" w:rsidRDefault="00DC0DFF" w:rsidP="00DC0DFF">
      <w:pPr>
        <w:pStyle w:val="Fodnotetekst"/>
      </w:pPr>
      <w:r>
        <w:rPr>
          <w:rStyle w:val="Fodnotehenvisning"/>
        </w:rPr>
        <w:footnoteRef/>
      </w:r>
      <w:r>
        <w:t xml:space="preserve"> Bestemmelsen har følgende ordlyd:  </w:t>
      </w:r>
      <w:r w:rsidR="003C1918" w:rsidRPr="003C1918">
        <w:t>§§ 4-13 og 15 kan ved kongelig anordning sættes helt eller delvis i kraft for Færøerne med de ændringer, som de færøske forhold tilsiger</w:t>
      </w:r>
      <w:r>
        <w:t>.</w:t>
      </w:r>
      <w:r w:rsidRPr="0095241B">
        <w:t>«</w:t>
      </w:r>
    </w:p>
  </w:footnote>
  <w:footnote w:id="4">
    <w:p w14:paraId="240F71FD" w14:textId="7C029760" w:rsidR="00DC0DFF" w:rsidRDefault="00DC0DFF" w:rsidP="00DC0DFF">
      <w:pPr>
        <w:pStyle w:val="Fodnotetekst"/>
      </w:pPr>
      <w:r>
        <w:rPr>
          <w:rStyle w:val="Fodnotehenvisning"/>
        </w:rPr>
        <w:footnoteRef/>
      </w:r>
      <w:r>
        <w:t xml:space="preserve"> Bestemmelsen har følgende ordlyd: </w:t>
      </w:r>
      <w:r w:rsidRPr="0095241B">
        <w:t>»</w:t>
      </w:r>
      <w:r w:rsidR="00220BF4" w:rsidRPr="00220BF4">
        <w:t>§§ 1-6, 8, 9, 11-14 og 18 kan ved kongelig anordning helt eller delvis sættes i kraft for Færøerne med de ændringer, som de færøske forhold tilsiger</w:t>
      </w:r>
      <w:r>
        <w:t>.</w:t>
      </w:r>
      <w:r w:rsidRPr="0095241B">
        <w:t>«</w:t>
      </w:r>
    </w:p>
  </w:footnote>
  <w:footnote w:id="5">
    <w:p w14:paraId="65EB7623" w14:textId="71D43E11" w:rsidR="00344DC5" w:rsidRDefault="00344DC5">
      <w:pPr>
        <w:pStyle w:val="Fodnotetekst"/>
      </w:pPr>
      <w:r>
        <w:rPr>
          <w:rStyle w:val="Fodnotehenvisning"/>
        </w:rPr>
        <w:footnoteRef/>
      </w:r>
      <w:r>
        <w:t xml:space="preserve"> Bestemmelsen har følgende ordlyd: </w:t>
      </w:r>
      <w:r w:rsidRPr="0095241B">
        <w:t>»</w:t>
      </w:r>
      <w:r w:rsidRPr="00344DC5">
        <w:t>§§ 3, 13-15 og 17-19 kan ved kongelig anordning helt eller delvis sættes i kraft for Færøerne med de ændringer, som de færøske forhold tilsiger</w:t>
      </w:r>
      <w:r>
        <w:t>.</w:t>
      </w:r>
      <w:r w:rsidRPr="0095241B">
        <w:t>«</w:t>
      </w:r>
    </w:p>
  </w:footnote>
  <w:footnote w:id="6">
    <w:p w14:paraId="7F94AE34" w14:textId="0FB7DEA6" w:rsidR="00DC0DFF" w:rsidRDefault="00DC0DFF" w:rsidP="00DC0DFF">
      <w:pPr>
        <w:pStyle w:val="Fodnotetekst"/>
      </w:pPr>
      <w:r>
        <w:rPr>
          <w:rStyle w:val="Fodnotehenvisning"/>
        </w:rPr>
        <w:footnoteRef/>
      </w:r>
      <w:r>
        <w:t xml:space="preserve"> Bestemmelsen har følgende ordlyd: </w:t>
      </w:r>
      <w:r w:rsidRPr="0095241B">
        <w:t>»</w:t>
      </w:r>
      <w:r>
        <w:t xml:space="preserve">§ 10 </w:t>
      </w:r>
      <w:r w:rsidRPr="0099282F">
        <w:t>Loven gælder ikke for Færøerne og Grønland, men kan ved kongelig anordning sættes helt eller delvis i kraft for Færøerne og Grønland med de ændringer, som henholdsvis de færøske og de grønlandske forhold tilsiger</w:t>
      </w:r>
      <w:r>
        <w:t>.</w:t>
      </w:r>
      <w:r w:rsidRPr="0095241B">
        <w:t>«</w:t>
      </w:r>
    </w:p>
  </w:footnote>
  <w:footnote w:id="7">
    <w:p w14:paraId="05EC030C" w14:textId="4602E704" w:rsidR="00DC0DFF" w:rsidRDefault="00DC0DFF" w:rsidP="00DC0DFF">
      <w:pPr>
        <w:pStyle w:val="Fodnotetekst"/>
      </w:pPr>
      <w:r>
        <w:rPr>
          <w:rStyle w:val="Fodnotehenvisning"/>
        </w:rPr>
        <w:footnoteRef/>
      </w:r>
      <w:r>
        <w:t xml:space="preserve"> Bestemmelsen har følgende ordlyd: </w:t>
      </w:r>
      <w:r w:rsidRPr="0095241B">
        <w:t>»</w:t>
      </w:r>
      <w:r w:rsidR="00344DC5" w:rsidRPr="00344DC5">
        <w:t>§§ 1-9, 11 og 12 kan ved kongelig anordning sættes helt eller delvis i kraft for Færøerne med de ændringer, som de færøske forhold tilsiger</w:t>
      </w:r>
      <w:r>
        <w:t>.</w:t>
      </w:r>
      <w:r w:rsidRPr="0095241B">
        <w:t>«</w:t>
      </w:r>
    </w:p>
  </w:footnote>
  <w:footnote w:id="8">
    <w:p w14:paraId="4A3D841A" w14:textId="62AE82A0" w:rsidR="00DC0DFF" w:rsidRDefault="00DC0DFF" w:rsidP="00DC0DFF">
      <w:pPr>
        <w:pStyle w:val="Fodnotetekst"/>
      </w:pPr>
      <w:r>
        <w:rPr>
          <w:rStyle w:val="Fodnotehenvisning"/>
        </w:rPr>
        <w:footnoteRef/>
      </w:r>
      <w:r>
        <w:t xml:space="preserve"> Bestemmelsen har følgende ordlyd: </w:t>
      </w:r>
      <w:r w:rsidRPr="0095241B">
        <w:t>»</w:t>
      </w:r>
      <w:r w:rsidR="00344DC5" w:rsidRPr="00344DC5">
        <w:t>§§ 2, 3, 5-7 og 9 kan ved kongelig anordning sættes helt eller delvis i kraft for Færøerne med de ændringer, som de færøske forhold tilsiger</w:t>
      </w:r>
      <w:r>
        <w:t>.</w:t>
      </w:r>
      <w:r w:rsidRPr="0095241B">
        <w:t>«</w:t>
      </w:r>
    </w:p>
  </w:footnote>
  <w:footnote w:id="9">
    <w:p w14:paraId="0CFBE04E" w14:textId="6C4D49D0" w:rsidR="001B0E21" w:rsidRDefault="001B0E21" w:rsidP="001B0E21">
      <w:pPr>
        <w:pStyle w:val="Fodnotetekst"/>
      </w:pPr>
      <w:r>
        <w:rPr>
          <w:rStyle w:val="Fodnotehenvisning"/>
        </w:rPr>
        <w:footnoteRef/>
      </w:r>
      <w:r>
        <w:t xml:space="preserve"> Bestemmelsen har følgende ordlyd: </w:t>
      </w:r>
      <w:r w:rsidRPr="0095241B">
        <w:t>»</w:t>
      </w:r>
      <w:r>
        <w:t>De dele af § 27, stk. 1, som i medfør af stk. 1 er sat i kraft for Færøerne, kan ved kongelig anordning sættes helt eller delvis i kraft på ny for Færøerne med de ændringer, som de færøske forhold tilsiger.«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792"/>
    <w:multiLevelType w:val="hybridMultilevel"/>
    <w:tmpl w:val="227E954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2584EDA"/>
    <w:multiLevelType w:val="hybridMultilevel"/>
    <w:tmpl w:val="00E251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FD23FD1"/>
    <w:multiLevelType w:val="hybridMultilevel"/>
    <w:tmpl w:val="5B84627C"/>
    <w:lvl w:ilvl="0" w:tplc="7B18E40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91604985">
    <w:abstractNumId w:val="0"/>
  </w:num>
  <w:num w:numId="2" w16cid:durableId="1814253696">
    <w:abstractNumId w:val="1"/>
  </w:num>
  <w:num w:numId="3" w16cid:durableId="895311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2C2015"/>
    <w:rsid w:val="00016258"/>
    <w:rsid w:val="00025B70"/>
    <w:rsid w:val="00033429"/>
    <w:rsid w:val="00061655"/>
    <w:rsid w:val="00063971"/>
    <w:rsid w:val="000640EA"/>
    <w:rsid w:val="00083BB3"/>
    <w:rsid w:val="000B45A7"/>
    <w:rsid w:val="000D6B1A"/>
    <w:rsid w:val="000E6586"/>
    <w:rsid w:val="00103FCA"/>
    <w:rsid w:val="0012578D"/>
    <w:rsid w:val="00162184"/>
    <w:rsid w:val="001B0E21"/>
    <w:rsid w:val="001B637F"/>
    <w:rsid w:val="001C01F3"/>
    <w:rsid w:val="001D0D18"/>
    <w:rsid w:val="001E57D4"/>
    <w:rsid w:val="00205C9B"/>
    <w:rsid w:val="00220B76"/>
    <w:rsid w:val="00220BF4"/>
    <w:rsid w:val="002640BD"/>
    <w:rsid w:val="002727D6"/>
    <w:rsid w:val="00290B8E"/>
    <w:rsid w:val="002A4930"/>
    <w:rsid w:val="002C2015"/>
    <w:rsid w:val="002D754B"/>
    <w:rsid w:val="002F77DB"/>
    <w:rsid w:val="003007C6"/>
    <w:rsid w:val="00304456"/>
    <w:rsid w:val="00317904"/>
    <w:rsid w:val="00331864"/>
    <w:rsid w:val="003332BF"/>
    <w:rsid w:val="00344DC5"/>
    <w:rsid w:val="00361011"/>
    <w:rsid w:val="00365AB1"/>
    <w:rsid w:val="00373C99"/>
    <w:rsid w:val="003802AC"/>
    <w:rsid w:val="003858A4"/>
    <w:rsid w:val="003A4BCE"/>
    <w:rsid w:val="003C1918"/>
    <w:rsid w:val="003D51DF"/>
    <w:rsid w:val="004220B4"/>
    <w:rsid w:val="004555B8"/>
    <w:rsid w:val="00461694"/>
    <w:rsid w:val="00486610"/>
    <w:rsid w:val="004D7009"/>
    <w:rsid w:val="004E5338"/>
    <w:rsid w:val="005361F2"/>
    <w:rsid w:val="0053668E"/>
    <w:rsid w:val="00596B2D"/>
    <w:rsid w:val="005B3EE6"/>
    <w:rsid w:val="005C690C"/>
    <w:rsid w:val="005E2F4C"/>
    <w:rsid w:val="005E2F86"/>
    <w:rsid w:val="00603033"/>
    <w:rsid w:val="00636D1D"/>
    <w:rsid w:val="00652082"/>
    <w:rsid w:val="00666CBC"/>
    <w:rsid w:val="006A1882"/>
    <w:rsid w:val="006F0BF8"/>
    <w:rsid w:val="007050BA"/>
    <w:rsid w:val="0071433D"/>
    <w:rsid w:val="007270D8"/>
    <w:rsid w:val="00757979"/>
    <w:rsid w:val="007623EF"/>
    <w:rsid w:val="00776DF5"/>
    <w:rsid w:val="007A35F1"/>
    <w:rsid w:val="007B6F07"/>
    <w:rsid w:val="007E75F4"/>
    <w:rsid w:val="0085276E"/>
    <w:rsid w:val="00876990"/>
    <w:rsid w:val="0089183B"/>
    <w:rsid w:val="00893E3A"/>
    <w:rsid w:val="008A0592"/>
    <w:rsid w:val="008A0E14"/>
    <w:rsid w:val="008A112F"/>
    <w:rsid w:val="008C6EE4"/>
    <w:rsid w:val="008F4CA1"/>
    <w:rsid w:val="008F515E"/>
    <w:rsid w:val="008F5BB8"/>
    <w:rsid w:val="00911CD6"/>
    <w:rsid w:val="00914DFD"/>
    <w:rsid w:val="00931EE7"/>
    <w:rsid w:val="00952596"/>
    <w:rsid w:val="00973DB2"/>
    <w:rsid w:val="009A278F"/>
    <w:rsid w:val="009A3D84"/>
    <w:rsid w:val="009B37B4"/>
    <w:rsid w:val="009D1A09"/>
    <w:rsid w:val="00A61403"/>
    <w:rsid w:val="00A94494"/>
    <w:rsid w:val="00AB685C"/>
    <w:rsid w:val="00AD490B"/>
    <w:rsid w:val="00AF2617"/>
    <w:rsid w:val="00B15146"/>
    <w:rsid w:val="00B2288E"/>
    <w:rsid w:val="00B27004"/>
    <w:rsid w:val="00B446A7"/>
    <w:rsid w:val="00B915A3"/>
    <w:rsid w:val="00B91A0C"/>
    <w:rsid w:val="00BA1404"/>
    <w:rsid w:val="00BA33FC"/>
    <w:rsid w:val="00BB68E6"/>
    <w:rsid w:val="00BD48B7"/>
    <w:rsid w:val="00C24928"/>
    <w:rsid w:val="00C45ABB"/>
    <w:rsid w:val="00C57719"/>
    <w:rsid w:val="00C7362E"/>
    <w:rsid w:val="00C8123E"/>
    <w:rsid w:val="00CC5137"/>
    <w:rsid w:val="00CD5731"/>
    <w:rsid w:val="00CE23AF"/>
    <w:rsid w:val="00CE4E98"/>
    <w:rsid w:val="00D051C6"/>
    <w:rsid w:val="00D22998"/>
    <w:rsid w:val="00D23F55"/>
    <w:rsid w:val="00DC0DFF"/>
    <w:rsid w:val="00DE5ECF"/>
    <w:rsid w:val="00DE7A44"/>
    <w:rsid w:val="00E02DDA"/>
    <w:rsid w:val="00E35EFA"/>
    <w:rsid w:val="00E51861"/>
    <w:rsid w:val="00E57F7C"/>
    <w:rsid w:val="00E6464D"/>
    <w:rsid w:val="00E702DF"/>
    <w:rsid w:val="00E8101D"/>
    <w:rsid w:val="00E825E1"/>
    <w:rsid w:val="00EA193D"/>
    <w:rsid w:val="00ED32D3"/>
    <w:rsid w:val="00F32A43"/>
    <w:rsid w:val="00F3445F"/>
    <w:rsid w:val="00F37128"/>
    <w:rsid w:val="00F37F75"/>
    <w:rsid w:val="00F418AA"/>
    <w:rsid w:val="00F60597"/>
    <w:rsid w:val="00F609C7"/>
    <w:rsid w:val="00F97A45"/>
    <w:rsid w:val="00FA272E"/>
    <w:rsid w:val="00FC5BFB"/>
    <w:rsid w:val="00FD79D0"/>
    <w:rsid w:val="00FE5C49"/>
    <w:rsid w:val="00FF15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7A03"/>
  <w15:chartTrackingRefBased/>
  <w15:docId w15:val="{6FAF0B63-B822-4D72-BD77-A389A090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1"/>
        <w:szCs w:val="22"/>
        <w:lang w:val="da-D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015"/>
    <w:pPr>
      <w:spacing w:after="0" w:line="280" w:lineRule="exact"/>
      <w:jc w:val="both"/>
    </w:pPr>
    <w:rPr>
      <w:kern w:val="0"/>
    </w:rPr>
  </w:style>
  <w:style w:type="paragraph" w:styleId="Overskrift1">
    <w:name w:val="heading 1"/>
    <w:basedOn w:val="Normal"/>
    <w:next w:val="Normal"/>
    <w:link w:val="Overskrift1Tegn"/>
    <w:uiPriority w:val="9"/>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semiHidden/>
    <w:unhideWhenUsed/>
    <w:qFormat/>
    <w:rsid w:val="00F60597"/>
    <w:pPr>
      <w:keepNext/>
      <w:keepLines/>
      <w:outlineLvl w:val="1"/>
    </w:pPr>
    <w:rPr>
      <w:rFonts w:ascii="Constantia" w:eastAsiaTheme="majorEastAsia" w:hAnsi="Constantia" w:cstheme="majorBidi"/>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semiHidden/>
    <w:rsid w:val="00F60597"/>
    <w:rPr>
      <w:rFonts w:ascii="Constantia" w:eastAsiaTheme="majorEastAsia" w:hAnsi="Constantia" w:cstheme="majorBidi"/>
      <w:b/>
      <w:bCs/>
      <w:sz w:val="22"/>
      <w:szCs w:val="26"/>
    </w:rPr>
  </w:style>
  <w:style w:type="paragraph" w:styleId="Listeafsnit">
    <w:name w:val="List Paragraph"/>
    <w:basedOn w:val="Normal"/>
    <w:uiPriority w:val="34"/>
    <w:rsid w:val="002C2015"/>
    <w:pPr>
      <w:ind w:left="720"/>
      <w:contextualSpacing/>
    </w:pPr>
  </w:style>
  <w:style w:type="character" w:styleId="Kommentarhenvisning">
    <w:name w:val="annotation reference"/>
    <w:basedOn w:val="Standardskrifttypeiafsnit"/>
    <w:uiPriority w:val="99"/>
    <w:semiHidden/>
    <w:unhideWhenUsed/>
    <w:rsid w:val="002C2015"/>
    <w:rPr>
      <w:sz w:val="16"/>
      <w:szCs w:val="16"/>
    </w:rPr>
  </w:style>
  <w:style w:type="paragraph" w:styleId="Kommentartekst">
    <w:name w:val="annotation text"/>
    <w:basedOn w:val="Normal"/>
    <w:link w:val="KommentartekstTegn"/>
    <w:uiPriority w:val="99"/>
    <w:unhideWhenUsed/>
    <w:rsid w:val="002C2015"/>
    <w:pPr>
      <w:spacing w:line="240" w:lineRule="auto"/>
    </w:pPr>
    <w:rPr>
      <w:sz w:val="20"/>
      <w:szCs w:val="20"/>
    </w:rPr>
  </w:style>
  <w:style w:type="character" w:customStyle="1" w:styleId="KommentartekstTegn">
    <w:name w:val="Kommentartekst Tegn"/>
    <w:basedOn w:val="Standardskrifttypeiafsnit"/>
    <w:link w:val="Kommentartekst"/>
    <w:uiPriority w:val="99"/>
    <w:rsid w:val="002C2015"/>
    <w:rPr>
      <w:kern w:val="0"/>
      <w:sz w:val="20"/>
      <w:szCs w:val="20"/>
    </w:rPr>
  </w:style>
  <w:style w:type="paragraph" w:styleId="Fodnotetekst">
    <w:name w:val="footnote text"/>
    <w:basedOn w:val="Normal"/>
    <w:link w:val="FodnotetekstTegn"/>
    <w:uiPriority w:val="99"/>
    <w:unhideWhenUsed/>
    <w:rsid w:val="00DC0DFF"/>
    <w:pPr>
      <w:spacing w:line="240" w:lineRule="auto"/>
    </w:pPr>
    <w:rPr>
      <w:sz w:val="20"/>
      <w:szCs w:val="20"/>
    </w:rPr>
  </w:style>
  <w:style w:type="character" w:customStyle="1" w:styleId="FodnotetekstTegn">
    <w:name w:val="Fodnotetekst Tegn"/>
    <w:basedOn w:val="Standardskrifttypeiafsnit"/>
    <w:link w:val="Fodnotetekst"/>
    <w:uiPriority w:val="99"/>
    <w:rsid w:val="00DC0DFF"/>
    <w:rPr>
      <w:kern w:val="0"/>
      <w:sz w:val="20"/>
      <w:szCs w:val="20"/>
    </w:rPr>
  </w:style>
  <w:style w:type="character" w:styleId="Fodnotehenvisning">
    <w:name w:val="footnote reference"/>
    <w:basedOn w:val="Standardskrifttypeiafsnit"/>
    <w:uiPriority w:val="99"/>
    <w:semiHidden/>
    <w:unhideWhenUsed/>
    <w:rsid w:val="00DC0DFF"/>
    <w:rPr>
      <w:vertAlign w:val="superscript"/>
    </w:rPr>
  </w:style>
  <w:style w:type="paragraph" w:styleId="Kommentaremne">
    <w:name w:val="annotation subject"/>
    <w:basedOn w:val="Kommentartekst"/>
    <w:next w:val="Kommentartekst"/>
    <w:link w:val="KommentaremneTegn"/>
    <w:uiPriority w:val="99"/>
    <w:semiHidden/>
    <w:unhideWhenUsed/>
    <w:rsid w:val="00344DC5"/>
    <w:rPr>
      <w:b/>
      <w:bCs/>
    </w:rPr>
  </w:style>
  <w:style w:type="character" w:customStyle="1" w:styleId="KommentaremneTegn">
    <w:name w:val="Kommentaremne Tegn"/>
    <w:basedOn w:val="KommentartekstTegn"/>
    <w:link w:val="Kommentaremne"/>
    <w:uiPriority w:val="99"/>
    <w:semiHidden/>
    <w:rsid w:val="00344DC5"/>
    <w:rPr>
      <w:b/>
      <w:bCs/>
      <w:kern w:val="0"/>
      <w:sz w:val="20"/>
      <w:szCs w:val="20"/>
    </w:rPr>
  </w:style>
  <w:style w:type="paragraph" w:styleId="Korrektur">
    <w:name w:val="Revision"/>
    <w:hidden/>
    <w:uiPriority w:val="99"/>
    <w:semiHidden/>
    <w:rsid w:val="00361011"/>
    <w:pPr>
      <w:spacing w:after="0" w:line="240" w:lineRule="auto"/>
    </w:pPr>
    <w:rPr>
      <w:kern w:val="0"/>
    </w:rPr>
  </w:style>
  <w:style w:type="character" w:styleId="Hyperlink">
    <w:name w:val="Hyperlink"/>
    <w:basedOn w:val="Standardskrifttypeiafsnit"/>
    <w:uiPriority w:val="99"/>
    <w:unhideWhenUsed/>
    <w:rsid w:val="00BD48B7"/>
    <w:rPr>
      <w:color w:val="990000" w:themeColor="hyperlink"/>
      <w:u w:val="single"/>
    </w:rPr>
  </w:style>
  <w:style w:type="character" w:styleId="Ulstomtale">
    <w:name w:val="Unresolved Mention"/>
    <w:basedOn w:val="Standardskrifttypeiafsnit"/>
    <w:uiPriority w:val="99"/>
    <w:semiHidden/>
    <w:unhideWhenUsed/>
    <w:rsid w:val="00BD4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24522">
      <w:bodyDiv w:val="1"/>
      <w:marLeft w:val="0"/>
      <w:marRight w:val="0"/>
      <w:marTop w:val="0"/>
      <w:marBottom w:val="0"/>
      <w:divBdr>
        <w:top w:val="none" w:sz="0" w:space="0" w:color="auto"/>
        <w:left w:val="none" w:sz="0" w:space="0" w:color="auto"/>
        <w:bottom w:val="none" w:sz="0" w:space="0" w:color="auto"/>
        <w:right w:val="none" w:sz="0" w:space="0" w:color="auto"/>
      </w:divBdr>
    </w:div>
    <w:div w:id="605698460">
      <w:bodyDiv w:val="1"/>
      <w:marLeft w:val="0"/>
      <w:marRight w:val="0"/>
      <w:marTop w:val="0"/>
      <w:marBottom w:val="0"/>
      <w:divBdr>
        <w:top w:val="none" w:sz="0" w:space="0" w:color="auto"/>
        <w:left w:val="none" w:sz="0" w:space="0" w:color="auto"/>
        <w:bottom w:val="none" w:sz="0" w:space="0" w:color="auto"/>
        <w:right w:val="none" w:sz="0" w:space="0" w:color="auto"/>
      </w:divBdr>
    </w:div>
    <w:div w:id="1454058935">
      <w:bodyDiv w:val="1"/>
      <w:marLeft w:val="0"/>
      <w:marRight w:val="0"/>
      <w:marTop w:val="0"/>
      <w:marBottom w:val="0"/>
      <w:divBdr>
        <w:top w:val="none" w:sz="0" w:space="0" w:color="auto"/>
        <w:left w:val="none" w:sz="0" w:space="0" w:color="auto"/>
        <w:bottom w:val="none" w:sz="0" w:space="0" w:color="auto"/>
        <w:right w:val="none" w:sz="0" w:space="0" w:color="auto"/>
      </w:divBdr>
      <w:divsChild>
        <w:div w:id="305621677">
          <w:marLeft w:val="0"/>
          <w:marRight w:val="0"/>
          <w:marTop w:val="0"/>
          <w:marBottom w:val="0"/>
          <w:divBdr>
            <w:top w:val="single" w:sz="2" w:space="0" w:color="auto"/>
            <w:left w:val="single" w:sz="2" w:space="0" w:color="auto"/>
            <w:bottom w:val="single" w:sz="2" w:space="0" w:color="auto"/>
            <w:right w:val="single" w:sz="2" w:space="0" w:color="auto"/>
          </w:divBdr>
          <w:divsChild>
            <w:div w:id="1681353382">
              <w:marLeft w:val="0"/>
              <w:marRight w:val="0"/>
              <w:marTop w:val="0"/>
              <w:marBottom w:val="0"/>
              <w:divBdr>
                <w:top w:val="single" w:sz="2" w:space="0" w:color="auto"/>
                <w:left w:val="single" w:sz="2" w:space="0" w:color="auto"/>
                <w:bottom w:val="single" w:sz="2" w:space="0" w:color="auto"/>
                <w:right w:val="single" w:sz="2" w:space="0" w:color="auto"/>
              </w:divBdr>
            </w:div>
          </w:divsChild>
        </w:div>
        <w:div w:id="1405300285">
          <w:marLeft w:val="0"/>
          <w:marRight w:val="0"/>
          <w:marTop w:val="0"/>
          <w:marBottom w:val="0"/>
          <w:divBdr>
            <w:top w:val="single" w:sz="2" w:space="0" w:color="auto"/>
            <w:left w:val="single" w:sz="2" w:space="0" w:color="auto"/>
            <w:bottom w:val="single" w:sz="2" w:space="0" w:color="auto"/>
            <w:right w:val="single" w:sz="2" w:space="0" w:color="auto"/>
          </w:divBdr>
          <w:divsChild>
            <w:div w:id="136387868">
              <w:marLeft w:val="0"/>
              <w:marRight w:val="0"/>
              <w:marTop w:val="0"/>
              <w:marBottom w:val="0"/>
              <w:divBdr>
                <w:top w:val="single" w:sz="2" w:space="0" w:color="auto"/>
                <w:left w:val="single" w:sz="2" w:space="0" w:color="auto"/>
                <w:bottom w:val="single" w:sz="2" w:space="0" w:color="auto"/>
                <w:right w:val="single" w:sz="2" w:space="0" w:color="auto"/>
              </w:divBdr>
            </w:div>
          </w:divsChild>
        </w:div>
        <w:div w:id="575168086">
          <w:marLeft w:val="0"/>
          <w:marRight w:val="0"/>
          <w:marTop w:val="0"/>
          <w:marBottom w:val="0"/>
          <w:divBdr>
            <w:top w:val="single" w:sz="2" w:space="0" w:color="auto"/>
            <w:left w:val="single" w:sz="2" w:space="0" w:color="auto"/>
            <w:bottom w:val="single" w:sz="2" w:space="0" w:color="auto"/>
            <w:right w:val="single" w:sz="2" w:space="0" w:color="auto"/>
          </w:divBdr>
          <w:divsChild>
            <w:div w:id="1760329082">
              <w:marLeft w:val="0"/>
              <w:marRight w:val="0"/>
              <w:marTop w:val="0"/>
              <w:marBottom w:val="0"/>
              <w:divBdr>
                <w:top w:val="single" w:sz="2" w:space="0" w:color="auto"/>
                <w:left w:val="single" w:sz="2" w:space="0" w:color="auto"/>
                <w:bottom w:val="single" w:sz="2" w:space="0" w:color="auto"/>
                <w:right w:val="single" w:sz="2" w:space="0" w:color="auto"/>
              </w:divBdr>
            </w:div>
            <w:div w:id="936445409">
              <w:marLeft w:val="0"/>
              <w:marRight w:val="0"/>
              <w:marTop w:val="0"/>
              <w:marBottom w:val="0"/>
              <w:divBdr>
                <w:top w:val="single" w:sz="2" w:space="0" w:color="auto"/>
                <w:left w:val="single" w:sz="2" w:space="0" w:color="auto"/>
                <w:bottom w:val="single" w:sz="2" w:space="0" w:color="auto"/>
                <w:right w:val="single" w:sz="2" w:space="0" w:color="auto"/>
              </w:divBdr>
            </w:div>
          </w:divsChild>
        </w:div>
        <w:div w:id="439842921">
          <w:marLeft w:val="0"/>
          <w:marRight w:val="0"/>
          <w:marTop w:val="0"/>
          <w:marBottom w:val="0"/>
          <w:divBdr>
            <w:top w:val="single" w:sz="2" w:space="0" w:color="auto"/>
            <w:left w:val="single" w:sz="2" w:space="0" w:color="auto"/>
            <w:bottom w:val="single" w:sz="2" w:space="0" w:color="auto"/>
            <w:right w:val="single" w:sz="2" w:space="0" w:color="auto"/>
          </w:divBdr>
          <w:divsChild>
            <w:div w:id="735325388">
              <w:marLeft w:val="0"/>
              <w:marRight w:val="0"/>
              <w:marTop w:val="0"/>
              <w:marBottom w:val="0"/>
              <w:divBdr>
                <w:top w:val="single" w:sz="2" w:space="0" w:color="auto"/>
                <w:left w:val="single" w:sz="2" w:space="0" w:color="auto"/>
                <w:bottom w:val="single" w:sz="2" w:space="0" w:color="auto"/>
                <w:right w:val="single" w:sz="2" w:space="0" w:color="auto"/>
              </w:divBdr>
            </w:div>
          </w:divsChild>
        </w:div>
        <w:div w:id="815030758">
          <w:marLeft w:val="0"/>
          <w:marRight w:val="0"/>
          <w:marTop w:val="0"/>
          <w:marBottom w:val="0"/>
          <w:divBdr>
            <w:top w:val="single" w:sz="2" w:space="0" w:color="auto"/>
            <w:left w:val="single" w:sz="2" w:space="0" w:color="auto"/>
            <w:bottom w:val="single" w:sz="2" w:space="0" w:color="auto"/>
            <w:right w:val="single" w:sz="2" w:space="0" w:color="auto"/>
          </w:divBdr>
          <w:divsChild>
            <w:div w:id="26493818">
              <w:marLeft w:val="0"/>
              <w:marRight w:val="0"/>
              <w:marTop w:val="0"/>
              <w:marBottom w:val="0"/>
              <w:divBdr>
                <w:top w:val="single" w:sz="2" w:space="0" w:color="auto"/>
                <w:left w:val="single" w:sz="2" w:space="0" w:color="auto"/>
                <w:bottom w:val="single" w:sz="2" w:space="0" w:color="auto"/>
                <w:right w:val="single" w:sz="2" w:space="0" w:color="auto"/>
              </w:divBdr>
            </w:div>
          </w:divsChild>
        </w:div>
        <w:div w:id="254872956">
          <w:marLeft w:val="0"/>
          <w:marRight w:val="0"/>
          <w:marTop w:val="0"/>
          <w:marBottom w:val="0"/>
          <w:divBdr>
            <w:top w:val="single" w:sz="2" w:space="0" w:color="auto"/>
            <w:left w:val="single" w:sz="2" w:space="0" w:color="auto"/>
            <w:bottom w:val="single" w:sz="2" w:space="0" w:color="auto"/>
            <w:right w:val="single" w:sz="2" w:space="0" w:color="auto"/>
          </w:divBdr>
          <w:divsChild>
            <w:div w:id="1338464122">
              <w:marLeft w:val="0"/>
              <w:marRight w:val="0"/>
              <w:marTop w:val="0"/>
              <w:marBottom w:val="0"/>
              <w:divBdr>
                <w:top w:val="single" w:sz="2" w:space="0" w:color="auto"/>
                <w:left w:val="single" w:sz="2" w:space="0" w:color="auto"/>
                <w:bottom w:val="single" w:sz="2" w:space="0" w:color="auto"/>
                <w:right w:val="single" w:sz="2" w:space="0" w:color="auto"/>
              </w:divBdr>
            </w:div>
          </w:divsChild>
        </w:div>
        <w:div w:id="373696590">
          <w:marLeft w:val="0"/>
          <w:marRight w:val="0"/>
          <w:marTop w:val="0"/>
          <w:marBottom w:val="0"/>
          <w:divBdr>
            <w:top w:val="single" w:sz="2" w:space="0" w:color="auto"/>
            <w:left w:val="single" w:sz="2" w:space="0" w:color="auto"/>
            <w:bottom w:val="single" w:sz="2" w:space="0" w:color="auto"/>
            <w:right w:val="single" w:sz="2" w:space="0" w:color="auto"/>
          </w:divBdr>
          <w:divsChild>
            <w:div w:id="1566254713">
              <w:marLeft w:val="0"/>
              <w:marRight w:val="0"/>
              <w:marTop w:val="0"/>
              <w:marBottom w:val="0"/>
              <w:divBdr>
                <w:top w:val="single" w:sz="2" w:space="0" w:color="auto"/>
                <w:left w:val="single" w:sz="2" w:space="0" w:color="auto"/>
                <w:bottom w:val="single" w:sz="2" w:space="0" w:color="auto"/>
                <w:right w:val="single" w:sz="2" w:space="0" w:color="auto"/>
              </w:divBdr>
            </w:div>
          </w:divsChild>
        </w:div>
        <w:div w:id="1658878863">
          <w:marLeft w:val="0"/>
          <w:marRight w:val="0"/>
          <w:marTop w:val="0"/>
          <w:marBottom w:val="0"/>
          <w:divBdr>
            <w:top w:val="single" w:sz="2" w:space="0" w:color="auto"/>
            <w:left w:val="single" w:sz="2" w:space="0" w:color="auto"/>
            <w:bottom w:val="single" w:sz="2" w:space="0" w:color="auto"/>
            <w:right w:val="single" w:sz="2" w:space="0" w:color="auto"/>
          </w:divBdr>
          <w:divsChild>
            <w:div w:id="1103260100">
              <w:marLeft w:val="0"/>
              <w:marRight w:val="0"/>
              <w:marTop w:val="0"/>
              <w:marBottom w:val="0"/>
              <w:divBdr>
                <w:top w:val="single" w:sz="2" w:space="0" w:color="auto"/>
                <w:left w:val="single" w:sz="2" w:space="0" w:color="auto"/>
                <w:bottom w:val="single" w:sz="2" w:space="0" w:color="auto"/>
                <w:right w:val="single" w:sz="2" w:space="0" w:color="auto"/>
              </w:divBdr>
            </w:div>
            <w:div w:id="443427921">
              <w:marLeft w:val="0"/>
              <w:marRight w:val="0"/>
              <w:marTop w:val="0"/>
              <w:marBottom w:val="0"/>
              <w:divBdr>
                <w:top w:val="single" w:sz="2" w:space="0" w:color="auto"/>
                <w:left w:val="single" w:sz="2" w:space="0" w:color="auto"/>
                <w:bottom w:val="single" w:sz="2" w:space="0" w:color="auto"/>
                <w:right w:val="single" w:sz="2" w:space="0" w:color="auto"/>
              </w:divBdr>
            </w:div>
            <w:div w:id="7420727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595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189B-1EF5-4252-9810-152CBB8F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3538</Words>
  <Characters>20171</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Marguerite Malloy (FT)</dc:creator>
  <cp:keywords/>
  <dc:description/>
  <cp:lastModifiedBy>Johannes Pauli Poulsen</cp:lastModifiedBy>
  <cp:revision>4</cp:revision>
  <dcterms:created xsi:type="dcterms:W3CDTF">2023-12-20T09:01:00Z</dcterms:created>
  <dcterms:modified xsi:type="dcterms:W3CDTF">2023-12-20T09:06:00Z</dcterms:modified>
</cp:coreProperties>
</file>