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BDE0" w14:textId="4DA5DF46" w:rsidR="00053D77" w:rsidRPr="00771B25" w:rsidRDefault="001B5E54" w:rsidP="00882164">
      <w:pPr>
        <w:spacing w:after="0"/>
        <w:jc w:val="center"/>
        <w:rPr>
          <w:b/>
          <w:sz w:val="32"/>
          <w:szCs w:val="32"/>
        </w:rPr>
      </w:pPr>
      <w:r w:rsidRPr="00771B25">
        <w:rPr>
          <w:b/>
          <w:noProof/>
          <w:sz w:val="32"/>
          <w:szCs w:val="32"/>
          <w:lang w:eastAsia="fo-FO"/>
        </w:rPr>
        <w:drawing>
          <wp:anchor distT="0" distB="0" distL="114300" distR="114300" simplePos="0" relativeHeight="251659264" behindDoc="0" locked="0" layoutInCell="1" allowOverlap="1" wp14:anchorId="29CB8A65" wp14:editId="00890A74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dr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560">
        <w:rPr>
          <w:b/>
          <w:sz w:val="32"/>
          <w:szCs w:val="32"/>
        </w:rPr>
        <w:t>Løgmálaráðið</w:t>
      </w:r>
    </w:p>
    <w:p w14:paraId="6EDD3687" w14:textId="77777777" w:rsidR="00464E42" w:rsidRDefault="00464E42" w:rsidP="003A6690">
      <w:pPr>
        <w:spacing w:after="0"/>
        <w:rPr>
          <w:rStyle w:val="TypografiFed"/>
        </w:rPr>
      </w:pPr>
    </w:p>
    <w:p w14:paraId="3781D86C" w14:textId="77777777" w:rsidR="00882164" w:rsidRDefault="00882164" w:rsidP="003A6690">
      <w:pPr>
        <w:spacing w:after="0"/>
        <w:rPr>
          <w:rStyle w:val="TypografiFed"/>
        </w:rPr>
      </w:pPr>
    </w:p>
    <w:p w14:paraId="0B5878FC" w14:textId="77777777" w:rsidR="006D3E3B" w:rsidRPr="00771B25" w:rsidRDefault="006D3E3B" w:rsidP="003A6690">
      <w:pPr>
        <w:spacing w:after="0"/>
        <w:rPr>
          <w:rStyle w:val="TypografiFed"/>
        </w:rPr>
      </w:pPr>
    </w:p>
    <w:tbl>
      <w:tblPr>
        <w:tblStyle w:val="Tabel-Git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22"/>
      </w:tblGrid>
      <w:tr w:rsidR="00464E42" w:rsidRPr="00771B25" w14:paraId="1635C313" w14:textId="77777777" w:rsidTr="00F86F03">
        <w:trPr>
          <w:jc w:val="right"/>
        </w:trPr>
        <w:tc>
          <w:tcPr>
            <w:tcW w:w="1559" w:type="dxa"/>
          </w:tcPr>
          <w:p w14:paraId="5C26158A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Dagfesting:</w:t>
            </w:r>
          </w:p>
        </w:tc>
        <w:tc>
          <w:tcPr>
            <w:tcW w:w="2222" w:type="dxa"/>
          </w:tcPr>
          <w:p w14:paraId="3C153F9A" w14:textId="1DC8EEED" w:rsidR="00464E42" w:rsidRPr="00771B25" w:rsidRDefault="00443560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A74B2">
              <w:rPr>
                <w:rFonts w:eastAsia="Calibri"/>
              </w:rPr>
              <w:t>1</w:t>
            </w:r>
            <w:r>
              <w:rPr>
                <w:rFonts w:eastAsia="Calibri"/>
              </w:rPr>
              <w:t>.07.2024</w:t>
            </w:r>
          </w:p>
        </w:tc>
      </w:tr>
      <w:tr w:rsidR="00464E42" w:rsidRPr="00771B25" w14:paraId="7675026B" w14:textId="77777777" w:rsidTr="00F86F03">
        <w:trPr>
          <w:jc w:val="right"/>
        </w:trPr>
        <w:tc>
          <w:tcPr>
            <w:tcW w:w="1559" w:type="dxa"/>
          </w:tcPr>
          <w:p w14:paraId="2789785C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Mál nr</w:t>
            </w:r>
            <w:r w:rsidR="00380999" w:rsidRPr="00771B25">
              <w:rPr>
                <w:rFonts w:eastAsia="Calibri"/>
              </w:rPr>
              <w:t>.</w:t>
            </w:r>
            <w:r w:rsidRPr="00771B25">
              <w:rPr>
                <w:rFonts w:eastAsia="Calibri"/>
              </w:rPr>
              <w:t>:</w:t>
            </w:r>
          </w:p>
        </w:tc>
        <w:tc>
          <w:tcPr>
            <w:tcW w:w="2222" w:type="dxa"/>
          </w:tcPr>
          <w:p w14:paraId="5FDB2DB2" w14:textId="01D67C3D" w:rsidR="00464E42" w:rsidRPr="00771B25" w:rsidRDefault="00443560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>
              <w:rPr>
                <w:rFonts w:eastAsia="Calibri"/>
              </w:rPr>
              <w:t>24/09374-10</w:t>
            </w:r>
          </w:p>
        </w:tc>
      </w:tr>
      <w:tr w:rsidR="00464E42" w:rsidRPr="00771B25" w14:paraId="394F5F9D" w14:textId="77777777" w:rsidTr="00F86F03">
        <w:trPr>
          <w:jc w:val="right"/>
        </w:trPr>
        <w:tc>
          <w:tcPr>
            <w:tcW w:w="1559" w:type="dxa"/>
          </w:tcPr>
          <w:p w14:paraId="01EAAD46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Málsviðgjørt:</w:t>
            </w:r>
          </w:p>
        </w:tc>
        <w:tc>
          <w:tcPr>
            <w:tcW w:w="2222" w:type="dxa"/>
          </w:tcPr>
          <w:p w14:paraId="23060736" w14:textId="1C6E0107" w:rsidR="00464E42" w:rsidRPr="00771B25" w:rsidRDefault="00443560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>
              <w:rPr>
                <w:rFonts w:eastAsia="Calibri"/>
              </w:rPr>
              <w:t>EM</w:t>
            </w:r>
          </w:p>
        </w:tc>
      </w:tr>
    </w:tbl>
    <w:p w14:paraId="3513CEF8" w14:textId="77777777" w:rsidR="00464E42" w:rsidRPr="00771B25" w:rsidRDefault="00464E42" w:rsidP="004A178F">
      <w:pPr>
        <w:spacing w:after="0"/>
      </w:pPr>
    </w:p>
    <w:p w14:paraId="53F7DE21" w14:textId="77777777" w:rsidR="00671ABB" w:rsidRDefault="00671ABB" w:rsidP="00671ABB">
      <w:pPr>
        <w:spacing w:after="0"/>
        <w:jc w:val="right"/>
        <w:rPr>
          <w:rStyle w:val="TypografiFed"/>
        </w:rPr>
      </w:pPr>
    </w:p>
    <w:p w14:paraId="67117040" w14:textId="77777777" w:rsidR="00671ABB" w:rsidRDefault="00671ABB" w:rsidP="00671ABB">
      <w:pPr>
        <w:spacing w:after="0"/>
        <w:jc w:val="right"/>
        <w:rPr>
          <w:rStyle w:val="TypografiFed"/>
        </w:rPr>
      </w:pPr>
      <w:r>
        <w:rPr>
          <w:rStyle w:val="TypografiFed"/>
        </w:rPr>
        <w:t>Fylgiskjal 1</w:t>
      </w:r>
    </w:p>
    <w:p w14:paraId="230C4668" w14:textId="77777777" w:rsidR="00D354E5" w:rsidRPr="00771B25" w:rsidRDefault="00D354E5" w:rsidP="00671ABB">
      <w:pPr>
        <w:spacing w:after="0"/>
        <w:jc w:val="right"/>
        <w:rPr>
          <w:rStyle w:val="TypografiFed"/>
        </w:rPr>
      </w:pPr>
    </w:p>
    <w:p w14:paraId="28F5C0A0" w14:textId="77777777" w:rsidR="009C3E65" w:rsidRPr="00771B25" w:rsidRDefault="009C3E65" w:rsidP="004A178F">
      <w:pPr>
        <w:spacing w:after="0"/>
        <w:rPr>
          <w:rStyle w:val="TypografiFed"/>
        </w:rPr>
      </w:pPr>
    </w:p>
    <w:p w14:paraId="76EB807B" w14:textId="77777777" w:rsidR="00D354E5" w:rsidRPr="00771B25" w:rsidRDefault="00671ABB" w:rsidP="003A6690">
      <w:pPr>
        <w:spacing w:after="0"/>
        <w:jc w:val="center"/>
        <w:rPr>
          <w:b/>
        </w:rPr>
      </w:pPr>
      <w:r>
        <w:rPr>
          <w:b/>
        </w:rPr>
        <w:t>Javntekstur</w:t>
      </w:r>
    </w:p>
    <w:p w14:paraId="43ACDE07" w14:textId="77777777" w:rsidR="00086403" w:rsidRDefault="00086403" w:rsidP="00D354E5">
      <w:pPr>
        <w:spacing w:after="0"/>
        <w:jc w:val="center"/>
        <w:rPr>
          <w:b/>
        </w:rPr>
      </w:pPr>
    </w:p>
    <w:p w14:paraId="59CE8962" w14:textId="6D4302FE" w:rsidR="003A6690" w:rsidRDefault="003A6690" w:rsidP="00D354E5">
      <w:pPr>
        <w:spacing w:after="0"/>
        <w:jc w:val="center"/>
      </w:pPr>
      <w:r>
        <w:t>Galdandi orðingar í løgtingslóg</w:t>
      </w:r>
      <w:r w:rsidR="00443560">
        <w:t>unum</w:t>
      </w:r>
      <w:r>
        <w:t xml:space="preserve"> samanbornar við broyttu orðingarnar í løgtingslógaruppskotinum.</w:t>
      </w:r>
    </w:p>
    <w:p w14:paraId="63796272" w14:textId="77777777" w:rsidR="00D56F25" w:rsidRDefault="00D56F25" w:rsidP="00D354E5">
      <w:pPr>
        <w:spacing w:after="0"/>
        <w:jc w:val="center"/>
      </w:pPr>
    </w:p>
    <w:p w14:paraId="42C29431" w14:textId="77777777" w:rsidR="00D56F25" w:rsidRDefault="00D56F25" w:rsidP="00D354E5">
      <w:pPr>
        <w:spacing w:after="0"/>
        <w:jc w:val="center"/>
      </w:pPr>
    </w:p>
    <w:p w14:paraId="3DBC0167" w14:textId="77777777" w:rsidR="003A6690" w:rsidRDefault="003A6690" w:rsidP="00D354E5">
      <w:pPr>
        <w:spacing w:after="0"/>
        <w:jc w:val="center"/>
      </w:pPr>
    </w:p>
    <w:p w14:paraId="708EB1F1" w14:textId="77777777" w:rsidR="003A6690" w:rsidRDefault="003A6690" w:rsidP="00D354E5">
      <w:pPr>
        <w:spacing w:after="0"/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6690" w14:paraId="1DC6AA44" w14:textId="77777777" w:rsidTr="003A6690">
        <w:tc>
          <w:tcPr>
            <w:tcW w:w="4508" w:type="dxa"/>
          </w:tcPr>
          <w:p w14:paraId="2D4D6F7A" w14:textId="77777777" w:rsidR="003A6690" w:rsidRPr="003A6690" w:rsidRDefault="003A6690" w:rsidP="003A6690">
            <w:pPr>
              <w:rPr>
                <w:b/>
              </w:rPr>
            </w:pPr>
            <w:r w:rsidRPr="003A6690">
              <w:rPr>
                <w:b/>
              </w:rPr>
              <w:t>Galdandi orðingar</w:t>
            </w:r>
          </w:p>
        </w:tc>
        <w:tc>
          <w:tcPr>
            <w:tcW w:w="4508" w:type="dxa"/>
          </w:tcPr>
          <w:p w14:paraId="0EBA57CA" w14:textId="77777777" w:rsidR="003A6690" w:rsidRPr="005636BE" w:rsidRDefault="00FB643C" w:rsidP="003A6690">
            <w:pPr>
              <w:rPr>
                <w:b/>
              </w:rPr>
            </w:pPr>
            <w:r w:rsidRPr="005636BE">
              <w:rPr>
                <w:b/>
              </w:rPr>
              <w:t>Løgtingslógaruppskotið</w:t>
            </w:r>
          </w:p>
        </w:tc>
      </w:tr>
      <w:tr w:rsidR="003A6690" w14:paraId="1C4C14A4" w14:textId="77777777" w:rsidTr="003A6690">
        <w:tc>
          <w:tcPr>
            <w:tcW w:w="4508" w:type="dxa"/>
          </w:tcPr>
          <w:p w14:paraId="3B49BDEB" w14:textId="77777777" w:rsidR="003A6690" w:rsidRPr="003A6690" w:rsidRDefault="003A6690" w:rsidP="00443560"/>
        </w:tc>
        <w:tc>
          <w:tcPr>
            <w:tcW w:w="4508" w:type="dxa"/>
          </w:tcPr>
          <w:p w14:paraId="08099768" w14:textId="77777777" w:rsidR="00443560" w:rsidRPr="008B2636" w:rsidRDefault="00443560" w:rsidP="00443560">
            <w:pPr>
              <w:jc w:val="center"/>
              <w:rPr>
                <w:b/>
              </w:rPr>
            </w:pPr>
            <w:r w:rsidRPr="008B2636">
              <w:rPr>
                <w:b/>
              </w:rPr>
              <w:t>§ 1</w:t>
            </w:r>
          </w:p>
          <w:p w14:paraId="73022D8C" w14:textId="77777777" w:rsidR="00443560" w:rsidRPr="000A129D" w:rsidRDefault="00443560" w:rsidP="00443560"/>
          <w:p w14:paraId="359A399D" w14:textId="77777777" w:rsidR="00443560" w:rsidRPr="000A129D" w:rsidRDefault="00443560" w:rsidP="00443560">
            <w:r w:rsidRPr="000A129D">
              <w:t xml:space="preserve">Í </w:t>
            </w:r>
            <w:r>
              <w:t>l</w:t>
            </w:r>
            <w:r w:rsidRPr="00B71FAB">
              <w:t>øgtingslóg nr. 42 frá 30. apríl 2018 um ættleiðing (Ættleiðingarlógin), sum broytt við løgtingslóg nr.</w:t>
            </w:r>
            <w:r>
              <w:t xml:space="preserve"> 91 frá 7. juni 2020, løgtingslóg nr. 159 frá 10. desember 2021 og løgtingslóg nr.</w:t>
            </w:r>
            <w:r w:rsidRPr="00B71FAB">
              <w:t xml:space="preserve"> 32 frá 9. mars 2023</w:t>
            </w:r>
            <w:r>
              <w:t xml:space="preserve">, </w:t>
            </w:r>
            <w:r w:rsidRPr="000A129D">
              <w:t>verða gjørdar hesar broytingar:</w:t>
            </w:r>
          </w:p>
          <w:p w14:paraId="1707AB87" w14:textId="4A430452" w:rsidR="003A6690" w:rsidRDefault="003A6690" w:rsidP="003A6690"/>
        </w:tc>
      </w:tr>
      <w:tr w:rsidR="003A6690" w14:paraId="34ABC756" w14:textId="77777777" w:rsidTr="003A6690">
        <w:tc>
          <w:tcPr>
            <w:tcW w:w="4508" w:type="dxa"/>
          </w:tcPr>
          <w:p w14:paraId="37C271B1" w14:textId="77777777" w:rsidR="00443560" w:rsidRPr="00443560" w:rsidRDefault="00443560" w:rsidP="00443560">
            <w:pPr>
              <w:jc w:val="center"/>
              <w:rPr>
                <w:i/>
                <w:iCs/>
              </w:rPr>
            </w:pPr>
            <w:r w:rsidRPr="00443560">
              <w:rPr>
                <w:i/>
                <w:iCs/>
                <w:lang w:val="en-US"/>
              </w:rPr>
              <w:t>Samstarvsavtala millum Føroyar og Danmark</w:t>
            </w:r>
          </w:p>
          <w:p w14:paraId="39905670" w14:textId="24D40424" w:rsidR="00443560" w:rsidRPr="00443560" w:rsidRDefault="00443560" w:rsidP="00443560">
            <w:r w:rsidRPr="00443560">
              <w:rPr>
                <w:b/>
                <w:bCs/>
                <w:lang w:val="en-US"/>
              </w:rPr>
              <w:t>§ 29.</w:t>
            </w:r>
            <w:r w:rsidRPr="00443560">
              <w:rPr>
                <w:lang w:val="en-US"/>
              </w:rPr>
              <w:t> </w:t>
            </w:r>
            <w:r>
              <w:rPr>
                <w:lang w:val="en-US"/>
              </w:rPr>
              <w:t>…</w:t>
            </w:r>
          </w:p>
          <w:p w14:paraId="4EE2A6E9" w14:textId="77777777" w:rsidR="003A6690" w:rsidRDefault="003A6690" w:rsidP="003A6690"/>
        </w:tc>
        <w:tc>
          <w:tcPr>
            <w:tcW w:w="4508" w:type="dxa"/>
          </w:tcPr>
          <w:p w14:paraId="381ADC63" w14:textId="77777777" w:rsidR="00443560" w:rsidRDefault="00443560" w:rsidP="00443560">
            <w:pPr>
              <w:pStyle w:val="Listeafsnit"/>
              <w:numPr>
                <w:ilvl w:val="0"/>
                <w:numId w:val="3"/>
              </w:numPr>
            </w:pPr>
            <w:r>
              <w:t>Yvirskriftin yvir § 29 verður orðað soleiðis:</w:t>
            </w:r>
          </w:p>
          <w:p w14:paraId="7985827A" w14:textId="77777777" w:rsidR="00443560" w:rsidRDefault="00443560" w:rsidP="00443560">
            <w:pPr>
              <w:pStyle w:val="Listeafsnit"/>
              <w:ind w:left="360"/>
            </w:pPr>
          </w:p>
          <w:p w14:paraId="11EB6B39" w14:textId="77777777" w:rsidR="00443560" w:rsidRDefault="00443560" w:rsidP="00443560">
            <w:pPr>
              <w:pStyle w:val="Listeafsnit"/>
              <w:ind w:left="3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“Samstarv við onnur norðurlond”</w:t>
            </w:r>
          </w:p>
          <w:p w14:paraId="682A2A75" w14:textId="1322C637" w:rsidR="003A6690" w:rsidRDefault="003A6690" w:rsidP="003A6690"/>
        </w:tc>
      </w:tr>
      <w:tr w:rsidR="003A6690" w14:paraId="3DFDC3DD" w14:textId="77777777" w:rsidTr="003A6690">
        <w:tc>
          <w:tcPr>
            <w:tcW w:w="4508" w:type="dxa"/>
          </w:tcPr>
          <w:p w14:paraId="6908B8E8" w14:textId="4D9642D2" w:rsidR="003A6690" w:rsidRPr="00443560" w:rsidRDefault="00443560" w:rsidP="003A6690">
            <w:r w:rsidRPr="00443560">
              <w:rPr>
                <w:b/>
                <w:bCs/>
              </w:rPr>
              <w:t>§ 29.</w:t>
            </w:r>
            <w:r w:rsidRPr="00443560">
              <w:t> Landsstýrismaðurin kann gera eina avtalu við danskar myndugleikar um viðurskiftini millum reglurnar í Føroyum og í Danmark um ættleiðing.</w:t>
            </w:r>
          </w:p>
        </w:tc>
        <w:tc>
          <w:tcPr>
            <w:tcW w:w="4508" w:type="dxa"/>
          </w:tcPr>
          <w:p w14:paraId="3379B53E" w14:textId="77777777" w:rsidR="00443560" w:rsidRDefault="00443560" w:rsidP="00443560">
            <w:pPr>
              <w:pStyle w:val="Listeafsnit"/>
              <w:numPr>
                <w:ilvl w:val="0"/>
                <w:numId w:val="3"/>
              </w:numPr>
            </w:pPr>
            <w:r>
              <w:t>§ 29 verður orðað soleiðis:</w:t>
            </w:r>
          </w:p>
          <w:p w14:paraId="5F2AD95F" w14:textId="77777777" w:rsidR="00443560" w:rsidRDefault="00443560" w:rsidP="00443560">
            <w:pPr>
              <w:pStyle w:val="Listeafsnit"/>
              <w:ind w:left="360"/>
            </w:pPr>
          </w:p>
          <w:p w14:paraId="09E20727" w14:textId="77777777" w:rsidR="00443560" w:rsidRPr="00B71FAB" w:rsidRDefault="00443560" w:rsidP="00443560">
            <w:pPr>
              <w:pStyle w:val="Listeafsnit"/>
              <w:ind w:left="360"/>
            </w:pPr>
            <w:r>
              <w:t>“</w:t>
            </w:r>
            <w:r>
              <w:rPr>
                <w:b/>
                <w:bCs/>
              </w:rPr>
              <w:t>§ 29.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Landsstýrisfólkið kann gera avtalu við onnur norðurlond um viðurskiftini millum reglurnar í Føroyum og í øðrum norðurlondum um ættleiðing.”</w:t>
            </w:r>
          </w:p>
          <w:p w14:paraId="0EAA8004" w14:textId="6F97F407" w:rsidR="003A6690" w:rsidRDefault="003A6690" w:rsidP="003A6690"/>
        </w:tc>
      </w:tr>
      <w:tr w:rsidR="003A6690" w14:paraId="1CB6935B" w14:textId="77777777" w:rsidTr="003A6690">
        <w:tc>
          <w:tcPr>
            <w:tcW w:w="4508" w:type="dxa"/>
          </w:tcPr>
          <w:p w14:paraId="515BF97B" w14:textId="77777777" w:rsidR="00443560" w:rsidRPr="00CA74B2" w:rsidRDefault="00443560" w:rsidP="00443560">
            <w:pPr>
              <w:jc w:val="center"/>
              <w:rPr>
                <w:b/>
                <w:bCs/>
              </w:rPr>
            </w:pPr>
          </w:p>
          <w:p w14:paraId="29592DEE" w14:textId="77777777" w:rsidR="00443560" w:rsidRPr="00CA74B2" w:rsidRDefault="00443560" w:rsidP="00443560">
            <w:pPr>
              <w:jc w:val="center"/>
              <w:rPr>
                <w:b/>
                <w:bCs/>
              </w:rPr>
            </w:pPr>
          </w:p>
          <w:p w14:paraId="7BA43776" w14:textId="507EBE59" w:rsidR="00443560" w:rsidRPr="00443560" w:rsidRDefault="00443560" w:rsidP="00443560">
            <w:pPr>
              <w:jc w:val="center"/>
              <w:rPr>
                <w:b/>
                <w:bCs/>
              </w:rPr>
            </w:pPr>
            <w:r w:rsidRPr="00443560">
              <w:rPr>
                <w:b/>
                <w:bCs/>
                <w:lang w:val="en-US"/>
              </w:rPr>
              <w:lastRenderedPageBreak/>
              <w:t>Kapittul 5</w:t>
            </w:r>
          </w:p>
          <w:p w14:paraId="65F0A4E6" w14:textId="77777777" w:rsidR="00443560" w:rsidRPr="00443560" w:rsidRDefault="00443560" w:rsidP="00443560">
            <w:pPr>
              <w:jc w:val="center"/>
              <w:rPr>
                <w:b/>
                <w:bCs/>
              </w:rPr>
            </w:pPr>
            <w:r w:rsidRPr="00443560">
              <w:rPr>
                <w:b/>
                <w:bCs/>
                <w:lang w:val="en-US"/>
              </w:rPr>
              <w:t>Hjálp til ættleiðing</w:t>
            </w:r>
          </w:p>
          <w:p w14:paraId="4EB01CF8" w14:textId="77777777" w:rsidR="003A6690" w:rsidRDefault="003A6690" w:rsidP="003A6690"/>
        </w:tc>
        <w:tc>
          <w:tcPr>
            <w:tcW w:w="4508" w:type="dxa"/>
          </w:tcPr>
          <w:p w14:paraId="48B3980D" w14:textId="77777777" w:rsidR="00443560" w:rsidRDefault="00443560" w:rsidP="00443560">
            <w:pPr>
              <w:pStyle w:val="Listeafsnit"/>
              <w:numPr>
                <w:ilvl w:val="0"/>
                <w:numId w:val="3"/>
              </w:numPr>
            </w:pPr>
            <w:r>
              <w:lastRenderedPageBreak/>
              <w:t>Heitið á kapittul 5 verður orðað soleiðis:</w:t>
            </w:r>
          </w:p>
          <w:p w14:paraId="2CDD06E3" w14:textId="77777777" w:rsidR="00443560" w:rsidRDefault="00443560" w:rsidP="00443560">
            <w:pPr>
              <w:pStyle w:val="Listeafsnit"/>
              <w:ind w:left="360"/>
              <w:jc w:val="center"/>
              <w:rPr>
                <w:b/>
                <w:bCs/>
              </w:rPr>
            </w:pPr>
          </w:p>
          <w:p w14:paraId="365DF5FA" w14:textId="77777777" w:rsidR="00443560" w:rsidRDefault="00443560" w:rsidP="00443560">
            <w:pPr>
              <w:pStyle w:val="Listeafsnit"/>
              <w:ind w:left="360"/>
              <w:jc w:val="center"/>
            </w:pPr>
            <w:r>
              <w:lastRenderedPageBreak/>
              <w:t>“</w:t>
            </w:r>
            <w:r>
              <w:rPr>
                <w:b/>
                <w:bCs/>
              </w:rPr>
              <w:t>Hjálp til ættleiðing og fyribils staðseting</w:t>
            </w:r>
            <w:r>
              <w:t>”</w:t>
            </w:r>
          </w:p>
          <w:p w14:paraId="555443B6" w14:textId="0D2E6A60" w:rsidR="003A6690" w:rsidRDefault="003A6690" w:rsidP="003A6690"/>
        </w:tc>
      </w:tr>
      <w:tr w:rsidR="003A6690" w14:paraId="1C66D892" w14:textId="77777777" w:rsidTr="003A6690">
        <w:tc>
          <w:tcPr>
            <w:tcW w:w="4508" w:type="dxa"/>
          </w:tcPr>
          <w:p w14:paraId="62F498CC" w14:textId="77777777" w:rsidR="003A6690" w:rsidRDefault="003A6690" w:rsidP="00443560"/>
        </w:tc>
        <w:tc>
          <w:tcPr>
            <w:tcW w:w="4508" w:type="dxa"/>
          </w:tcPr>
          <w:p w14:paraId="349ED96D" w14:textId="77777777" w:rsidR="00443560" w:rsidRDefault="00443560" w:rsidP="00443560">
            <w:pPr>
              <w:pStyle w:val="Listeafsnit"/>
              <w:numPr>
                <w:ilvl w:val="0"/>
                <w:numId w:val="3"/>
              </w:numPr>
            </w:pPr>
            <w:r>
              <w:t>Aftaná § 39 í kapittul 5 verður sett:</w:t>
            </w:r>
          </w:p>
          <w:p w14:paraId="4D07E9E9" w14:textId="77777777" w:rsidR="00443560" w:rsidRDefault="00443560" w:rsidP="00443560">
            <w:pPr>
              <w:ind w:left="360"/>
            </w:pPr>
          </w:p>
          <w:p w14:paraId="43A57C24" w14:textId="77777777" w:rsidR="00443560" w:rsidRDefault="00443560" w:rsidP="00443560">
            <w:pPr>
              <w:ind w:left="360"/>
              <w:jc w:val="center"/>
              <w:rPr>
                <w:i/>
                <w:iCs/>
              </w:rPr>
            </w:pPr>
            <w:r>
              <w:t>“</w:t>
            </w:r>
            <w:r>
              <w:rPr>
                <w:i/>
                <w:iCs/>
              </w:rPr>
              <w:t>Fyribils staðseting</w:t>
            </w:r>
          </w:p>
          <w:p w14:paraId="3E984B84" w14:textId="77777777" w:rsidR="00443560" w:rsidRDefault="00443560" w:rsidP="00443560">
            <w:pPr>
              <w:ind w:left="360"/>
              <w:rPr>
                <w:i/>
                <w:iCs/>
              </w:rPr>
            </w:pPr>
          </w:p>
          <w:p w14:paraId="7395EA01" w14:textId="77777777" w:rsidR="00443560" w:rsidRDefault="00443560" w:rsidP="00443560">
            <w:pPr>
              <w:ind w:left="360"/>
            </w:pPr>
            <w:r>
              <w:rPr>
                <w:b/>
                <w:bCs/>
              </w:rPr>
              <w:t xml:space="preserve">§ 39 a. </w:t>
            </w:r>
            <w:r>
              <w:t xml:space="preserve">Tá Familjufyrisitingin hevur tikið avgerð sambært § 11 um, at eitt barn skal ættleiðast eftir § 10, stk. 1-2, verður barnið staðsett hjá tí umsøkjara, </w:t>
            </w:r>
            <w:r w:rsidRPr="00985FD0">
              <w:t>sum barnið er ávíst til vi</w:t>
            </w:r>
            <w:r>
              <w:t>ð</w:t>
            </w:r>
            <w:r w:rsidRPr="00985FD0">
              <w:t xml:space="preserve"> atliti at ættleiðing</w:t>
            </w:r>
            <w:r>
              <w:t>. Fyribils staðsetingin steðgar, tá ið Familjufyrisitingin gevur loyvi til ættleiðing sambært § 1, 2. pkt., ella rætturin avger, at avgerðin hjá Familjufyrisitingini um ættleiðing verður sett úr gildi, og kærufreistin er farin.</w:t>
            </w:r>
          </w:p>
          <w:p w14:paraId="593F2D82" w14:textId="77777777" w:rsidR="00443560" w:rsidRDefault="00443560" w:rsidP="00443560">
            <w:pPr>
              <w:ind w:left="360"/>
            </w:pPr>
            <w:r>
              <w:rPr>
                <w:i/>
                <w:iCs/>
              </w:rPr>
              <w:t>Stk. 2.</w:t>
            </w:r>
            <w:r>
              <w:t xml:space="preserve"> Umsøkjarin hevur sambært § 8, stk. 5 í løgtingslóg um foreldramyndugleika og samveru foreldramyndugleika yvir barninum, meðan barnið fyribils er staðsett hjá umsøkjaranum. Somuleiðis hevur umsøkjarin skyldu til at uppihalda barninum.</w:t>
            </w:r>
          </w:p>
          <w:p w14:paraId="67C1CBE3" w14:textId="77777777" w:rsidR="00443560" w:rsidRPr="003A207E" w:rsidRDefault="00443560" w:rsidP="00443560">
            <w:pPr>
              <w:ind w:left="360"/>
            </w:pPr>
            <w:r>
              <w:rPr>
                <w:i/>
                <w:iCs/>
              </w:rPr>
              <w:t>Stk. 3.</w:t>
            </w:r>
            <w:r>
              <w:t xml:space="preserve"> Landsstýrisfólkið kann áseta nærri reglur um fyribils staðseting sambært stk. 1.”</w:t>
            </w:r>
          </w:p>
          <w:p w14:paraId="5C96B33B" w14:textId="7CE692E8" w:rsidR="003A6690" w:rsidRDefault="003A6690" w:rsidP="003A6690"/>
        </w:tc>
      </w:tr>
      <w:tr w:rsidR="003A6690" w14:paraId="08DF81F6" w14:textId="77777777" w:rsidTr="003A6690">
        <w:tc>
          <w:tcPr>
            <w:tcW w:w="4508" w:type="dxa"/>
          </w:tcPr>
          <w:p w14:paraId="7B4D30B5" w14:textId="77777777" w:rsidR="003A6690" w:rsidRDefault="003A6690" w:rsidP="00443560"/>
        </w:tc>
        <w:tc>
          <w:tcPr>
            <w:tcW w:w="4508" w:type="dxa"/>
          </w:tcPr>
          <w:p w14:paraId="0C785DD6" w14:textId="77777777" w:rsidR="00443560" w:rsidRDefault="00443560" w:rsidP="00443560">
            <w:pPr>
              <w:jc w:val="center"/>
              <w:rPr>
                <w:b/>
              </w:rPr>
            </w:pPr>
            <w:r w:rsidRPr="008B2636">
              <w:rPr>
                <w:b/>
              </w:rPr>
              <w:t>§ 2</w:t>
            </w:r>
          </w:p>
          <w:p w14:paraId="00B49950" w14:textId="77777777" w:rsidR="00443560" w:rsidRPr="000A129D" w:rsidRDefault="00443560" w:rsidP="00443560"/>
          <w:p w14:paraId="2B6A38E0" w14:textId="77777777" w:rsidR="00443560" w:rsidRDefault="00443560" w:rsidP="00443560">
            <w:r w:rsidRPr="000A129D">
              <w:t xml:space="preserve">Í </w:t>
            </w:r>
            <w:r>
              <w:t>l</w:t>
            </w:r>
            <w:r w:rsidRPr="00DE67F7">
              <w:t>øgtingslóg nr. 87 frá 16. mai 2022 um foreldramyndugleika og samveru</w:t>
            </w:r>
            <w:r>
              <w:t xml:space="preserve"> (Foreldramyndugleikalógin)</w:t>
            </w:r>
            <w:r w:rsidRPr="00DE67F7">
              <w:t>, sum broytt við løgtingslóg nr. 144 frá 15. desember 2023</w:t>
            </w:r>
            <w:r>
              <w:t>, verða gjørdar hesar broytingar:</w:t>
            </w:r>
          </w:p>
          <w:p w14:paraId="5B528C5C" w14:textId="06307800" w:rsidR="003A6690" w:rsidRDefault="003A6690" w:rsidP="003A6690"/>
        </w:tc>
      </w:tr>
      <w:tr w:rsidR="003A6690" w14:paraId="0B7D7E30" w14:textId="77777777" w:rsidTr="003A6690">
        <w:tc>
          <w:tcPr>
            <w:tcW w:w="4508" w:type="dxa"/>
          </w:tcPr>
          <w:p w14:paraId="1227D38C" w14:textId="77777777" w:rsidR="003A6690" w:rsidRDefault="003A6690" w:rsidP="00443560"/>
        </w:tc>
        <w:tc>
          <w:tcPr>
            <w:tcW w:w="4508" w:type="dxa"/>
          </w:tcPr>
          <w:p w14:paraId="01012F13" w14:textId="77777777" w:rsidR="00443560" w:rsidRDefault="00443560" w:rsidP="00443560">
            <w:pPr>
              <w:pStyle w:val="Listeafsnit"/>
              <w:numPr>
                <w:ilvl w:val="0"/>
                <w:numId w:val="4"/>
              </w:numPr>
              <w:ind w:left="360"/>
            </w:pPr>
            <w:r>
              <w:t>Í § 8 verður sum stk. 4 og 5 sett:</w:t>
            </w:r>
            <w:r w:rsidRPr="000A129D">
              <w:t xml:space="preserve"> </w:t>
            </w:r>
          </w:p>
          <w:p w14:paraId="2577A29A" w14:textId="77777777" w:rsidR="00443560" w:rsidRDefault="00443560" w:rsidP="00443560"/>
          <w:p w14:paraId="79A5B859" w14:textId="77777777" w:rsidR="00443560" w:rsidRDefault="00443560" w:rsidP="00443560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“Stk. 4. </w:t>
            </w:r>
            <w:r>
              <w:t>Stk. 1 og 2 eru somuleiðis galdandi fyri umsøkjarar við góðkenning sum ættleiðarar, sum ættleiða eitt barn frá einum øðrum landi, í tíðarskeiðnum frá tí at barnið kemur til landið, og til Familjufyrisitingini hevur givið loyvi til ættleiðing eftir § 1 í løgtingslóg um ættleiðing.</w:t>
            </w:r>
            <w:r>
              <w:rPr>
                <w:i/>
                <w:iCs/>
              </w:rPr>
              <w:t xml:space="preserve"> </w:t>
            </w:r>
          </w:p>
          <w:p w14:paraId="659E21D5" w14:textId="77777777" w:rsidR="00443560" w:rsidRDefault="00443560" w:rsidP="00443560">
            <w:pPr>
              <w:ind w:left="360"/>
            </w:pPr>
            <w:r>
              <w:rPr>
                <w:i/>
                <w:iCs/>
              </w:rPr>
              <w:lastRenderedPageBreak/>
              <w:t xml:space="preserve">Stk. 5. </w:t>
            </w:r>
            <w:r>
              <w:t>Stk. 1 og 2 eru somuleiðis galdandi fyri umsøkjarar við góðkenning sum ættleiðarar, sum hava fingið eitt barn staðsett sambært § 39 a í løgtingslóg um ættleiðing, so leingi barnið fyribils er staðsett.”</w:t>
            </w:r>
          </w:p>
          <w:p w14:paraId="1CEB5736" w14:textId="3FDF9FC5" w:rsidR="003A6690" w:rsidRDefault="003A6690" w:rsidP="003A6690"/>
        </w:tc>
      </w:tr>
      <w:tr w:rsidR="003A6690" w14:paraId="57C8395C" w14:textId="77777777" w:rsidTr="003A6690">
        <w:tc>
          <w:tcPr>
            <w:tcW w:w="4508" w:type="dxa"/>
          </w:tcPr>
          <w:p w14:paraId="10FF6992" w14:textId="77777777" w:rsidR="003A6690" w:rsidRDefault="003A6690" w:rsidP="00443560"/>
        </w:tc>
        <w:tc>
          <w:tcPr>
            <w:tcW w:w="4508" w:type="dxa"/>
          </w:tcPr>
          <w:p w14:paraId="2D5E1006" w14:textId="77777777" w:rsidR="00443560" w:rsidRPr="00100452" w:rsidRDefault="00443560" w:rsidP="00443560">
            <w:pPr>
              <w:pStyle w:val="Listeafsnit"/>
              <w:numPr>
                <w:ilvl w:val="0"/>
                <w:numId w:val="4"/>
              </w:numPr>
              <w:ind w:left="360"/>
              <w:rPr>
                <w:b/>
                <w:bCs/>
              </w:rPr>
            </w:pPr>
            <w:r>
              <w:t>Í § 23 verður sum stk. 2 sett:</w:t>
            </w:r>
          </w:p>
          <w:p w14:paraId="0C99775F" w14:textId="77777777" w:rsidR="00443560" w:rsidRDefault="00443560" w:rsidP="00443560">
            <w:pPr>
              <w:pStyle w:val="Listeafsnit"/>
            </w:pPr>
          </w:p>
          <w:p w14:paraId="76852C09" w14:textId="77777777" w:rsidR="00443560" w:rsidRPr="00100452" w:rsidRDefault="00443560" w:rsidP="00443560">
            <w:pPr>
              <w:pStyle w:val="Listeafsnit"/>
              <w:ind w:left="363"/>
              <w:rPr>
                <w:b/>
                <w:bCs/>
              </w:rPr>
            </w:pPr>
            <w:r>
              <w:t>“S</w:t>
            </w:r>
            <w:r>
              <w:rPr>
                <w:i/>
                <w:iCs/>
              </w:rPr>
              <w:t>tk. 2.</w:t>
            </w:r>
            <w:r>
              <w:t xml:space="preserve"> Stk. 1 er somuleiðis galdandi fyri fyribils staðseting sambært § 39 a í løgtingslóg um ættleiðing.”</w:t>
            </w:r>
          </w:p>
          <w:p w14:paraId="3181B34C" w14:textId="47C3609C" w:rsidR="003A6690" w:rsidRDefault="003A6690" w:rsidP="003A6690"/>
        </w:tc>
      </w:tr>
      <w:tr w:rsidR="003A6690" w14:paraId="1941F2FA" w14:textId="77777777" w:rsidTr="003A6690">
        <w:tc>
          <w:tcPr>
            <w:tcW w:w="4508" w:type="dxa"/>
          </w:tcPr>
          <w:p w14:paraId="2CB2FA5A" w14:textId="77777777" w:rsidR="003A6690" w:rsidRDefault="003A6690" w:rsidP="00443560"/>
        </w:tc>
        <w:tc>
          <w:tcPr>
            <w:tcW w:w="4508" w:type="dxa"/>
          </w:tcPr>
          <w:p w14:paraId="59302FCC" w14:textId="77777777" w:rsidR="00443560" w:rsidRDefault="00443560" w:rsidP="00443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 3</w:t>
            </w:r>
          </w:p>
          <w:p w14:paraId="28A67941" w14:textId="77777777" w:rsidR="00443560" w:rsidRPr="00665B99" w:rsidRDefault="00443560" w:rsidP="00443560">
            <w:pPr>
              <w:jc w:val="center"/>
              <w:rPr>
                <w:b/>
                <w:bCs/>
              </w:rPr>
            </w:pPr>
          </w:p>
          <w:p w14:paraId="15868BC8" w14:textId="77777777" w:rsidR="00443560" w:rsidRPr="000A129D" w:rsidRDefault="00443560" w:rsidP="00443560">
            <w:r w:rsidRPr="000A129D">
              <w:t>Henda løgtingslóg kemur í gildi dagin eftir, at hon er kunngjørd.</w:t>
            </w:r>
          </w:p>
          <w:p w14:paraId="693B0BD6" w14:textId="7CC2D346" w:rsidR="003A6690" w:rsidRDefault="003A6690" w:rsidP="003A6690"/>
        </w:tc>
      </w:tr>
    </w:tbl>
    <w:p w14:paraId="1AAAE979" w14:textId="77777777" w:rsidR="007E6DF4" w:rsidRPr="00985567" w:rsidRDefault="007E6DF4" w:rsidP="003A6690">
      <w:pPr>
        <w:spacing w:after="0"/>
      </w:pPr>
    </w:p>
    <w:sectPr w:rsidR="007E6DF4" w:rsidRPr="00985567" w:rsidSect="00296BF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6D606" w14:textId="77777777" w:rsidR="004031D2" w:rsidRDefault="004031D2" w:rsidP="003A5FF5">
      <w:pPr>
        <w:spacing w:after="0"/>
      </w:pPr>
      <w:r>
        <w:separator/>
      </w:r>
    </w:p>
  </w:endnote>
  <w:endnote w:type="continuationSeparator" w:id="0">
    <w:p w14:paraId="185EA42A" w14:textId="77777777" w:rsidR="004031D2" w:rsidRDefault="004031D2" w:rsidP="003A5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379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E21648" w14:textId="77777777" w:rsidR="00882164" w:rsidRPr="00882164" w:rsidRDefault="00882164">
            <w:pPr>
              <w:pStyle w:val="Sidefod"/>
              <w:jc w:val="center"/>
            </w:pPr>
            <w:r w:rsidRPr="00882164">
              <w:rPr>
                <w:bCs/>
              </w:rPr>
              <w:fldChar w:fldCharType="begin"/>
            </w:r>
            <w:r w:rsidRPr="00882164">
              <w:rPr>
                <w:bCs/>
              </w:rPr>
              <w:instrText>PAGE</w:instrText>
            </w:r>
            <w:r w:rsidRPr="00882164">
              <w:rPr>
                <w:bCs/>
              </w:rPr>
              <w:fldChar w:fldCharType="separate"/>
            </w:r>
            <w:r w:rsidR="009949D3">
              <w:rPr>
                <w:bCs/>
                <w:noProof/>
              </w:rPr>
              <w:t>1</w:t>
            </w:r>
            <w:r w:rsidRPr="00882164">
              <w:rPr>
                <w:bCs/>
              </w:rPr>
              <w:fldChar w:fldCharType="end"/>
            </w:r>
            <w:r w:rsidRPr="00882164">
              <w:rPr>
                <w:lang w:val="da-DK"/>
              </w:rPr>
              <w:t xml:space="preserve"> / </w:t>
            </w:r>
            <w:r w:rsidRPr="00882164">
              <w:rPr>
                <w:bCs/>
              </w:rPr>
              <w:fldChar w:fldCharType="begin"/>
            </w:r>
            <w:r w:rsidRPr="00882164">
              <w:rPr>
                <w:bCs/>
              </w:rPr>
              <w:instrText>NUMPAGES</w:instrText>
            </w:r>
            <w:r w:rsidRPr="00882164">
              <w:rPr>
                <w:bCs/>
              </w:rPr>
              <w:fldChar w:fldCharType="separate"/>
            </w:r>
            <w:r w:rsidR="009949D3">
              <w:rPr>
                <w:bCs/>
                <w:noProof/>
              </w:rPr>
              <w:t>1</w:t>
            </w:r>
            <w:r w:rsidRPr="00882164">
              <w:rPr>
                <w:bCs/>
              </w:rPr>
              <w:fldChar w:fldCharType="end"/>
            </w:r>
          </w:p>
        </w:sdtContent>
      </w:sdt>
    </w:sdtContent>
  </w:sdt>
  <w:p w14:paraId="097DB987" w14:textId="77777777" w:rsidR="00882164" w:rsidRDefault="008821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CC00E" w14:textId="77777777" w:rsidR="004031D2" w:rsidRDefault="004031D2" w:rsidP="003A5FF5">
      <w:pPr>
        <w:spacing w:after="0"/>
      </w:pPr>
      <w:r>
        <w:separator/>
      </w:r>
    </w:p>
  </w:footnote>
  <w:footnote w:type="continuationSeparator" w:id="0">
    <w:p w14:paraId="6A668CD2" w14:textId="77777777" w:rsidR="004031D2" w:rsidRDefault="004031D2" w:rsidP="003A5F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B4AE6" w14:textId="77777777" w:rsidR="002B1F15" w:rsidRPr="00DA32B2" w:rsidRDefault="002B1F15">
    <w:pPr>
      <w:pStyle w:val="Sidehoved"/>
    </w:pPr>
  </w:p>
  <w:p w14:paraId="62851426" w14:textId="77777777" w:rsidR="002B1F15" w:rsidRPr="00DA32B2" w:rsidRDefault="002B1F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FBC5" w14:textId="77777777" w:rsidR="00DA32B2" w:rsidRPr="00DA32B2" w:rsidRDefault="00DA32B2" w:rsidP="00035C9D">
    <w:pPr>
      <w:pStyle w:val="Sidehoved"/>
      <w:tabs>
        <w:tab w:val="left" w:pos="3690"/>
      </w:tabs>
      <w:spacing w:before="24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2A1" w14:textId="77777777" w:rsidR="00035C9D" w:rsidRDefault="00035C9D">
    <w:pPr>
      <w:pStyle w:val="Sidehoved"/>
    </w:pPr>
  </w:p>
  <w:p w14:paraId="1F3E6724" w14:textId="77777777" w:rsidR="00C507D7" w:rsidRDefault="00C507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F1AEE"/>
    <w:multiLevelType w:val="hybridMultilevel"/>
    <w:tmpl w:val="69369C6E"/>
    <w:lvl w:ilvl="0" w:tplc="29806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4E68"/>
    <w:multiLevelType w:val="hybridMultilevel"/>
    <w:tmpl w:val="F532190C"/>
    <w:lvl w:ilvl="0" w:tplc="043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3167D9"/>
    <w:multiLevelType w:val="hybridMultilevel"/>
    <w:tmpl w:val="0414D34E"/>
    <w:lvl w:ilvl="0" w:tplc="75EA08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380019">
      <w:start w:val="1"/>
      <w:numFmt w:val="lowerLetter"/>
      <w:lvlText w:val="%2."/>
      <w:lvlJc w:val="left"/>
      <w:pPr>
        <w:ind w:left="1080" w:hanging="360"/>
      </w:pPr>
    </w:lvl>
    <w:lvl w:ilvl="2" w:tplc="0438001B">
      <w:start w:val="1"/>
      <w:numFmt w:val="lowerRoman"/>
      <w:lvlText w:val="%3."/>
      <w:lvlJc w:val="right"/>
      <w:pPr>
        <w:ind w:left="1800" w:hanging="180"/>
      </w:pPr>
    </w:lvl>
    <w:lvl w:ilvl="3" w:tplc="0438000F">
      <w:start w:val="1"/>
      <w:numFmt w:val="decimal"/>
      <w:lvlText w:val="%4."/>
      <w:lvlJc w:val="left"/>
      <w:pPr>
        <w:ind w:left="2520" w:hanging="360"/>
      </w:pPr>
    </w:lvl>
    <w:lvl w:ilvl="4" w:tplc="04380019">
      <w:start w:val="1"/>
      <w:numFmt w:val="lowerLetter"/>
      <w:lvlText w:val="%5."/>
      <w:lvlJc w:val="left"/>
      <w:pPr>
        <w:ind w:left="3240" w:hanging="360"/>
      </w:pPr>
    </w:lvl>
    <w:lvl w:ilvl="5" w:tplc="0438001B">
      <w:start w:val="1"/>
      <w:numFmt w:val="lowerRoman"/>
      <w:lvlText w:val="%6."/>
      <w:lvlJc w:val="right"/>
      <w:pPr>
        <w:ind w:left="3960" w:hanging="180"/>
      </w:pPr>
    </w:lvl>
    <w:lvl w:ilvl="6" w:tplc="0438000F">
      <w:start w:val="1"/>
      <w:numFmt w:val="decimal"/>
      <w:lvlText w:val="%7."/>
      <w:lvlJc w:val="left"/>
      <w:pPr>
        <w:ind w:left="4680" w:hanging="360"/>
      </w:pPr>
    </w:lvl>
    <w:lvl w:ilvl="7" w:tplc="04380019">
      <w:start w:val="1"/>
      <w:numFmt w:val="lowerLetter"/>
      <w:lvlText w:val="%8."/>
      <w:lvlJc w:val="left"/>
      <w:pPr>
        <w:ind w:left="5400" w:hanging="360"/>
      </w:pPr>
    </w:lvl>
    <w:lvl w:ilvl="8" w:tplc="0438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E5581F"/>
    <w:multiLevelType w:val="hybridMultilevel"/>
    <w:tmpl w:val="EEA4A7E0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06770">
    <w:abstractNumId w:val="3"/>
  </w:num>
  <w:num w:numId="2" w16cid:durableId="669523159">
    <w:abstractNumId w:val="1"/>
  </w:num>
  <w:num w:numId="3" w16cid:durableId="1727027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84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60"/>
    <w:rsid w:val="00000BEA"/>
    <w:rsid w:val="00010CB1"/>
    <w:rsid w:val="00015E7F"/>
    <w:rsid w:val="00023E5F"/>
    <w:rsid w:val="000274D4"/>
    <w:rsid w:val="00035C9D"/>
    <w:rsid w:val="00041E53"/>
    <w:rsid w:val="0004472A"/>
    <w:rsid w:val="000447FF"/>
    <w:rsid w:val="00044B9C"/>
    <w:rsid w:val="00046F0D"/>
    <w:rsid w:val="00050EE9"/>
    <w:rsid w:val="00053D77"/>
    <w:rsid w:val="000638FA"/>
    <w:rsid w:val="00086403"/>
    <w:rsid w:val="00092757"/>
    <w:rsid w:val="000934CA"/>
    <w:rsid w:val="000948B4"/>
    <w:rsid w:val="000A3A49"/>
    <w:rsid w:val="000A4072"/>
    <w:rsid w:val="000B681F"/>
    <w:rsid w:val="000C13C9"/>
    <w:rsid w:val="000C26A3"/>
    <w:rsid w:val="000C33C9"/>
    <w:rsid w:val="000D2DDB"/>
    <w:rsid w:val="000E3179"/>
    <w:rsid w:val="000F5064"/>
    <w:rsid w:val="000F68B4"/>
    <w:rsid w:val="00100769"/>
    <w:rsid w:val="0010185F"/>
    <w:rsid w:val="00112EDB"/>
    <w:rsid w:val="0011679C"/>
    <w:rsid w:val="001330EA"/>
    <w:rsid w:val="00135121"/>
    <w:rsid w:val="001540F5"/>
    <w:rsid w:val="00184827"/>
    <w:rsid w:val="00184D6D"/>
    <w:rsid w:val="001A54FD"/>
    <w:rsid w:val="001B5E54"/>
    <w:rsid w:val="001C2F55"/>
    <w:rsid w:val="001C56D0"/>
    <w:rsid w:val="001D115C"/>
    <w:rsid w:val="001D2CB1"/>
    <w:rsid w:val="001F6EAF"/>
    <w:rsid w:val="001F739F"/>
    <w:rsid w:val="0022227E"/>
    <w:rsid w:val="00227916"/>
    <w:rsid w:val="002324D6"/>
    <w:rsid w:val="0025028D"/>
    <w:rsid w:val="002514DB"/>
    <w:rsid w:val="0025385F"/>
    <w:rsid w:val="00255773"/>
    <w:rsid w:val="00264D63"/>
    <w:rsid w:val="00274832"/>
    <w:rsid w:val="00296BFA"/>
    <w:rsid w:val="002B1F15"/>
    <w:rsid w:val="002C2A21"/>
    <w:rsid w:val="002C49A1"/>
    <w:rsid w:val="002C7E06"/>
    <w:rsid w:val="002F6E05"/>
    <w:rsid w:val="00304EDA"/>
    <w:rsid w:val="00305ED2"/>
    <w:rsid w:val="0031539E"/>
    <w:rsid w:val="00320C77"/>
    <w:rsid w:val="003452F1"/>
    <w:rsid w:val="00352970"/>
    <w:rsid w:val="003532E7"/>
    <w:rsid w:val="00356BCF"/>
    <w:rsid w:val="00370861"/>
    <w:rsid w:val="00380999"/>
    <w:rsid w:val="003812FF"/>
    <w:rsid w:val="003A1C82"/>
    <w:rsid w:val="003A312A"/>
    <w:rsid w:val="003A43FF"/>
    <w:rsid w:val="003A5FF5"/>
    <w:rsid w:val="003A6690"/>
    <w:rsid w:val="003A716C"/>
    <w:rsid w:val="003B44DD"/>
    <w:rsid w:val="003D385E"/>
    <w:rsid w:val="003E0D87"/>
    <w:rsid w:val="003F21D5"/>
    <w:rsid w:val="004031D2"/>
    <w:rsid w:val="004039D6"/>
    <w:rsid w:val="0040470F"/>
    <w:rsid w:val="00422D16"/>
    <w:rsid w:val="00425520"/>
    <w:rsid w:val="0043362C"/>
    <w:rsid w:val="00436C74"/>
    <w:rsid w:val="00443560"/>
    <w:rsid w:val="0045456D"/>
    <w:rsid w:val="00457696"/>
    <w:rsid w:val="00460D90"/>
    <w:rsid w:val="00462AC1"/>
    <w:rsid w:val="00464E42"/>
    <w:rsid w:val="00484438"/>
    <w:rsid w:val="00492EB4"/>
    <w:rsid w:val="004A178F"/>
    <w:rsid w:val="004A2D09"/>
    <w:rsid w:val="004A5BC3"/>
    <w:rsid w:val="004B2B69"/>
    <w:rsid w:val="004C1845"/>
    <w:rsid w:val="0050180E"/>
    <w:rsid w:val="005061E4"/>
    <w:rsid w:val="005068D8"/>
    <w:rsid w:val="00511554"/>
    <w:rsid w:val="00517216"/>
    <w:rsid w:val="00520208"/>
    <w:rsid w:val="00520C59"/>
    <w:rsid w:val="005308D3"/>
    <w:rsid w:val="00532481"/>
    <w:rsid w:val="005347EC"/>
    <w:rsid w:val="00551F59"/>
    <w:rsid w:val="005636BE"/>
    <w:rsid w:val="00566880"/>
    <w:rsid w:val="005808CC"/>
    <w:rsid w:val="00582BE9"/>
    <w:rsid w:val="005A34E4"/>
    <w:rsid w:val="005A4328"/>
    <w:rsid w:val="005B3879"/>
    <w:rsid w:val="005C26C3"/>
    <w:rsid w:val="005C2D1A"/>
    <w:rsid w:val="005C2E93"/>
    <w:rsid w:val="005C39A9"/>
    <w:rsid w:val="005C5CE3"/>
    <w:rsid w:val="005C7ECC"/>
    <w:rsid w:val="005D6AB2"/>
    <w:rsid w:val="00602AEF"/>
    <w:rsid w:val="00602E85"/>
    <w:rsid w:val="00611B03"/>
    <w:rsid w:val="006166C1"/>
    <w:rsid w:val="0062609A"/>
    <w:rsid w:val="00656DB8"/>
    <w:rsid w:val="006642ED"/>
    <w:rsid w:val="00671ABB"/>
    <w:rsid w:val="006730C2"/>
    <w:rsid w:val="006754FD"/>
    <w:rsid w:val="00681ED6"/>
    <w:rsid w:val="006855F3"/>
    <w:rsid w:val="00692307"/>
    <w:rsid w:val="006944BF"/>
    <w:rsid w:val="006A052D"/>
    <w:rsid w:val="006A4126"/>
    <w:rsid w:val="006A758C"/>
    <w:rsid w:val="006C0FFD"/>
    <w:rsid w:val="006D3E3B"/>
    <w:rsid w:val="006E2D6E"/>
    <w:rsid w:val="007038B8"/>
    <w:rsid w:val="007315C0"/>
    <w:rsid w:val="00745D4A"/>
    <w:rsid w:val="00746B18"/>
    <w:rsid w:val="0076665D"/>
    <w:rsid w:val="00770A17"/>
    <w:rsid w:val="00771B25"/>
    <w:rsid w:val="0077428F"/>
    <w:rsid w:val="0079199C"/>
    <w:rsid w:val="00794E1A"/>
    <w:rsid w:val="007B1DEC"/>
    <w:rsid w:val="007B2A2C"/>
    <w:rsid w:val="007B6E71"/>
    <w:rsid w:val="007C21E3"/>
    <w:rsid w:val="007D5B26"/>
    <w:rsid w:val="007E0848"/>
    <w:rsid w:val="007E6DF4"/>
    <w:rsid w:val="00806D41"/>
    <w:rsid w:val="0080742C"/>
    <w:rsid w:val="00814678"/>
    <w:rsid w:val="00823533"/>
    <w:rsid w:val="00823566"/>
    <w:rsid w:val="008303CF"/>
    <w:rsid w:val="00834A49"/>
    <w:rsid w:val="00841D5A"/>
    <w:rsid w:val="008457DE"/>
    <w:rsid w:val="008470A3"/>
    <w:rsid w:val="008538D7"/>
    <w:rsid w:val="00871900"/>
    <w:rsid w:val="00876D2D"/>
    <w:rsid w:val="00882164"/>
    <w:rsid w:val="008901BB"/>
    <w:rsid w:val="008A0855"/>
    <w:rsid w:val="008B219C"/>
    <w:rsid w:val="008B21B2"/>
    <w:rsid w:val="008B6B55"/>
    <w:rsid w:val="008C1080"/>
    <w:rsid w:val="008C5493"/>
    <w:rsid w:val="008D5CAC"/>
    <w:rsid w:val="008E1718"/>
    <w:rsid w:val="008E4219"/>
    <w:rsid w:val="008F74CF"/>
    <w:rsid w:val="00914A2A"/>
    <w:rsid w:val="00917EA9"/>
    <w:rsid w:val="0092039A"/>
    <w:rsid w:val="00930912"/>
    <w:rsid w:val="0093386F"/>
    <w:rsid w:val="00934D57"/>
    <w:rsid w:val="00935C49"/>
    <w:rsid w:val="009406F8"/>
    <w:rsid w:val="00973742"/>
    <w:rsid w:val="00983448"/>
    <w:rsid w:val="00985567"/>
    <w:rsid w:val="00985A5D"/>
    <w:rsid w:val="00985FA5"/>
    <w:rsid w:val="00986B87"/>
    <w:rsid w:val="0099053D"/>
    <w:rsid w:val="009949D3"/>
    <w:rsid w:val="009A2669"/>
    <w:rsid w:val="009B0FB9"/>
    <w:rsid w:val="009B1416"/>
    <w:rsid w:val="009B3BDD"/>
    <w:rsid w:val="009B6E5A"/>
    <w:rsid w:val="009B79D3"/>
    <w:rsid w:val="009C0ABB"/>
    <w:rsid w:val="009C3E65"/>
    <w:rsid w:val="009C5EFA"/>
    <w:rsid w:val="009D4DA1"/>
    <w:rsid w:val="009D6A6C"/>
    <w:rsid w:val="009D7C4E"/>
    <w:rsid w:val="009E1FE3"/>
    <w:rsid w:val="009F14D3"/>
    <w:rsid w:val="00A16870"/>
    <w:rsid w:val="00A17140"/>
    <w:rsid w:val="00A34211"/>
    <w:rsid w:val="00A50498"/>
    <w:rsid w:val="00A53AF7"/>
    <w:rsid w:val="00A54D65"/>
    <w:rsid w:val="00A576ED"/>
    <w:rsid w:val="00A577CF"/>
    <w:rsid w:val="00A65B90"/>
    <w:rsid w:val="00A73EA1"/>
    <w:rsid w:val="00A82321"/>
    <w:rsid w:val="00A9350B"/>
    <w:rsid w:val="00AA09DA"/>
    <w:rsid w:val="00AA1EF6"/>
    <w:rsid w:val="00AA4164"/>
    <w:rsid w:val="00AA77E9"/>
    <w:rsid w:val="00AC07AB"/>
    <w:rsid w:val="00AD04B2"/>
    <w:rsid w:val="00AE05B4"/>
    <w:rsid w:val="00AE48A0"/>
    <w:rsid w:val="00AE73BD"/>
    <w:rsid w:val="00AF0DF5"/>
    <w:rsid w:val="00AF7B57"/>
    <w:rsid w:val="00B21AD0"/>
    <w:rsid w:val="00B313F2"/>
    <w:rsid w:val="00B40416"/>
    <w:rsid w:val="00B42722"/>
    <w:rsid w:val="00B5206A"/>
    <w:rsid w:val="00B62CFD"/>
    <w:rsid w:val="00B87D42"/>
    <w:rsid w:val="00B90291"/>
    <w:rsid w:val="00B933A3"/>
    <w:rsid w:val="00BB6385"/>
    <w:rsid w:val="00BC43C2"/>
    <w:rsid w:val="00BD2CAA"/>
    <w:rsid w:val="00BE22CB"/>
    <w:rsid w:val="00BE2E33"/>
    <w:rsid w:val="00BE5D35"/>
    <w:rsid w:val="00BF333D"/>
    <w:rsid w:val="00BF69A4"/>
    <w:rsid w:val="00C02A7D"/>
    <w:rsid w:val="00C07723"/>
    <w:rsid w:val="00C10B7B"/>
    <w:rsid w:val="00C15BAD"/>
    <w:rsid w:val="00C16F07"/>
    <w:rsid w:val="00C31DD2"/>
    <w:rsid w:val="00C33DD2"/>
    <w:rsid w:val="00C4281B"/>
    <w:rsid w:val="00C507D7"/>
    <w:rsid w:val="00C60A1D"/>
    <w:rsid w:val="00C64A9B"/>
    <w:rsid w:val="00C65B06"/>
    <w:rsid w:val="00C84DD8"/>
    <w:rsid w:val="00C85148"/>
    <w:rsid w:val="00C91D61"/>
    <w:rsid w:val="00C94B40"/>
    <w:rsid w:val="00C95A4E"/>
    <w:rsid w:val="00CA26B8"/>
    <w:rsid w:val="00CA3550"/>
    <w:rsid w:val="00CA74B2"/>
    <w:rsid w:val="00CA7D8B"/>
    <w:rsid w:val="00D04E40"/>
    <w:rsid w:val="00D10CE4"/>
    <w:rsid w:val="00D11735"/>
    <w:rsid w:val="00D20BB7"/>
    <w:rsid w:val="00D20DEA"/>
    <w:rsid w:val="00D22728"/>
    <w:rsid w:val="00D229E8"/>
    <w:rsid w:val="00D354E5"/>
    <w:rsid w:val="00D44515"/>
    <w:rsid w:val="00D45046"/>
    <w:rsid w:val="00D53C04"/>
    <w:rsid w:val="00D54D84"/>
    <w:rsid w:val="00D56F25"/>
    <w:rsid w:val="00D601A5"/>
    <w:rsid w:val="00D725B9"/>
    <w:rsid w:val="00D77BA6"/>
    <w:rsid w:val="00D857F0"/>
    <w:rsid w:val="00D90E8D"/>
    <w:rsid w:val="00D9285B"/>
    <w:rsid w:val="00D96E70"/>
    <w:rsid w:val="00D97232"/>
    <w:rsid w:val="00DA32B2"/>
    <w:rsid w:val="00DB5CCE"/>
    <w:rsid w:val="00DF446B"/>
    <w:rsid w:val="00E13791"/>
    <w:rsid w:val="00E20280"/>
    <w:rsid w:val="00E435CB"/>
    <w:rsid w:val="00E50744"/>
    <w:rsid w:val="00E531C5"/>
    <w:rsid w:val="00E91105"/>
    <w:rsid w:val="00E91F9E"/>
    <w:rsid w:val="00E97352"/>
    <w:rsid w:val="00EA1B3E"/>
    <w:rsid w:val="00EA5003"/>
    <w:rsid w:val="00EB2650"/>
    <w:rsid w:val="00EC2245"/>
    <w:rsid w:val="00ED7A20"/>
    <w:rsid w:val="00F110D7"/>
    <w:rsid w:val="00F1615D"/>
    <w:rsid w:val="00F2565F"/>
    <w:rsid w:val="00F36633"/>
    <w:rsid w:val="00F478DE"/>
    <w:rsid w:val="00F538C3"/>
    <w:rsid w:val="00F82BF5"/>
    <w:rsid w:val="00F905C6"/>
    <w:rsid w:val="00FA2AA0"/>
    <w:rsid w:val="00FB26B2"/>
    <w:rsid w:val="00FB643C"/>
    <w:rsid w:val="00FD2BE2"/>
    <w:rsid w:val="00FD64F6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B0255"/>
  <w15:chartTrackingRefBased/>
  <w15:docId w15:val="{1ACBF6BC-BF79-4202-80E7-81A6441E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o-F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1D"/>
  </w:style>
  <w:style w:type="paragraph" w:styleId="Overskrift1">
    <w:name w:val="heading 1"/>
    <w:basedOn w:val="Normal"/>
    <w:next w:val="Normal"/>
    <w:link w:val="Overskrift1Tegn"/>
    <w:uiPriority w:val="9"/>
    <w:rsid w:val="001C2F55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1C2F55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5FF5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A5FF5"/>
  </w:style>
  <w:style w:type="paragraph" w:styleId="Sidefod">
    <w:name w:val="footer"/>
    <w:basedOn w:val="Normal"/>
    <w:link w:val="SidefodTegn"/>
    <w:uiPriority w:val="99"/>
    <w:unhideWhenUsed/>
    <w:rsid w:val="003A5FF5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A5FF5"/>
  </w:style>
  <w:style w:type="table" w:styleId="Tabel-Gitter">
    <w:name w:val="Table Grid"/>
    <w:basedOn w:val="Tabel-Normal"/>
    <w:uiPriority w:val="59"/>
    <w:rsid w:val="00464E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59"/>
    <w:locked/>
    <w:rsid w:val="00FD2B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AE73BD"/>
    <w:pPr>
      <w:spacing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2F55"/>
    <w:rPr>
      <w:rFonts w:ascii="Times New Roman" w:eastAsiaTheme="majorEastAsia" w:hAnsi="Times New Roman" w:cstheme="majorBidi"/>
      <w:sz w:val="24"/>
      <w:szCs w:val="32"/>
    </w:rPr>
  </w:style>
  <w:style w:type="paragraph" w:styleId="Titel">
    <w:name w:val="Title"/>
    <w:aliases w:val="Heiti"/>
    <w:basedOn w:val="Normal"/>
    <w:next w:val="Normal"/>
    <w:link w:val="TitelTegn"/>
    <w:uiPriority w:val="10"/>
    <w:qFormat/>
    <w:rsid w:val="00BF333D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Tegn">
    <w:name w:val="Titel Tegn"/>
    <w:aliases w:val="Heiti Tegn"/>
    <w:basedOn w:val="Standardskrifttypeiafsnit"/>
    <w:link w:val="Titel"/>
    <w:uiPriority w:val="10"/>
    <w:rsid w:val="00BF333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C65B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5B06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customStyle="1" w:styleId="Skkskrift">
    <w:name w:val="Skákskrift"/>
    <w:basedOn w:val="Normal"/>
    <w:link w:val="SkkskriftTegn"/>
    <w:qFormat/>
    <w:rsid w:val="000A3A49"/>
    <w:pPr>
      <w:spacing w:after="0"/>
    </w:pPr>
    <w:rPr>
      <w:i/>
    </w:rPr>
  </w:style>
  <w:style w:type="character" w:customStyle="1" w:styleId="SkkskriftTegn">
    <w:name w:val="Skákskrift Tegn"/>
    <w:basedOn w:val="Standardskrifttypeiafsnit"/>
    <w:link w:val="Skkskrift"/>
    <w:rsid w:val="000A3A49"/>
    <w:rPr>
      <w:rFonts w:ascii="Times New Roman" w:hAnsi="Times New Roman" w:cs="Times New Roman"/>
      <w:i/>
      <w:sz w:val="24"/>
      <w:szCs w:val="24"/>
    </w:rPr>
  </w:style>
  <w:style w:type="character" w:styleId="Strk">
    <w:name w:val="Strong"/>
    <w:aliases w:val="Feit skrift"/>
    <w:basedOn w:val="Standardskrifttypeiafsnit"/>
    <w:uiPriority w:val="22"/>
    <w:qFormat/>
    <w:rsid w:val="00E435CB"/>
    <w:rPr>
      <w:rFonts w:ascii="Times New Roman" w:hAnsi="Times New Roman"/>
      <w:b/>
      <w:bCs/>
      <w:sz w:val="24"/>
    </w:rPr>
  </w:style>
  <w:style w:type="character" w:styleId="Fremhv">
    <w:name w:val="Emphasis"/>
    <w:basedOn w:val="Standardskrifttypeiafsnit"/>
    <w:uiPriority w:val="20"/>
    <w:rsid w:val="000A3A49"/>
    <w:rPr>
      <w:rFonts w:ascii="Times New Roman" w:hAnsi="Times New Roman"/>
      <w:i w:val="0"/>
      <w:iCs/>
      <w:sz w:val="24"/>
    </w:rPr>
  </w:style>
  <w:style w:type="character" w:styleId="Svagfremhvning">
    <w:name w:val="Subtle Emphasis"/>
    <w:basedOn w:val="Standardskrifttypeiafsnit"/>
    <w:uiPriority w:val="19"/>
    <w:rsid w:val="009A2669"/>
    <w:rPr>
      <w:rFonts w:ascii="Times New Roman" w:hAnsi="Times New Roman"/>
      <w:i/>
      <w:iCs/>
      <w:color w:val="404040" w:themeColor="text1" w:themeTint="BF"/>
      <w:sz w:val="24"/>
    </w:rPr>
  </w:style>
  <w:style w:type="character" w:styleId="Bogenstitel">
    <w:name w:val="Book Title"/>
    <w:basedOn w:val="Standardskrifttypeiafsnit"/>
    <w:uiPriority w:val="33"/>
    <w:rsid w:val="0080742C"/>
    <w:rPr>
      <w:rFonts w:ascii="Times New Roman" w:hAnsi="Times New Roman"/>
      <w:b/>
      <w:bCs/>
      <w:i w:val="0"/>
      <w:iCs/>
      <w:spacing w:val="5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C85148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C31DD2"/>
    <w:pPr>
      <w:ind w:left="720"/>
      <w:contextualSpacing/>
    </w:pPr>
  </w:style>
  <w:style w:type="character" w:customStyle="1" w:styleId="Typografi10pkt">
    <w:name w:val="Typografi 10 pkt"/>
    <w:basedOn w:val="Standardskrifttypeiafsnit"/>
    <w:rsid w:val="001C2F55"/>
    <w:rPr>
      <w:rFonts w:ascii="Times New Roman" w:hAnsi="Times New Roman"/>
      <w:sz w:val="20"/>
    </w:rPr>
  </w:style>
  <w:style w:type="character" w:customStyle="1" w:styleId="TypografiFed">
    <w:name w:val="Typografi Fed"/>
    <w:basedOn w:val="Standardskrifttypeiafsnit"/>
    <w:rsid w:val="001C2F55"/>
    <w:rPr>
      <w:rFonts w:ascii="Times New Roman" w:hAnsi="Times New Roman"/>
      <w:b/>
      <w:bCs/>
      <w:sz w:val="24"/>
    </w:rPr>
  </w:style>
  <w:style w:type="character" w:customStyle="1" w:styleId="TypografiKursiv">
    <w:name w:val="Typografi Kursiv"/>
    <w:basedOn w:val="Standardskrifttypeiafsnit"/>
    <w:rsid w:val="001C2F55"/>
    <w:rPr>
      <w:rFonts w:ascii="Times New Roman" w:hAnsi="Times New Roman"/>
      <w:i/>
      <w:iCs/>
      <w:sz w:val="24"/>
    </w:rPr>
  </w:style>
  <w:style w:type="character" w:customStyle="1" w:styleId="TypografiUnderstregning">
    <w:name w:val="Typografi Understregning"/>
    <w:basedOn w:val="Standardskrifttypeiafsnit"/>
    <w:rsid w:val="001C2F55"/>
    <w:rPr>
      <w:rFonts w:ascii="Times New Roman" w:hAnsi="Times New Roman"/>
      <w:sz w:val="24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2F55"/>
    <w:rPr>
      <w:rFonts w:ascii="Times New Roman" w:eastAsiaTheme="majorEastAsia" w:hAnsi="Times New Roman" w:cstheme="majorBidi"/>
      <w:sz w:val="24"/>
      <w:szCs w:val="26"/>
    </w:rPr>
  </w:style>
  <w:style w:type="character" w:styleId="Kraftigfremhvning">
    <w:name w:val="Intense Emphasis"/>
    <w:basedOn w:val="Standardskrifttypeiafsnit"/>
    <w:uiPriority w:val="21"/>
    <w:rsid w:val="000A3A49"/>
    <w:rPr>
      <w:rFonts w:ascii="Times New Roman" w:hAnsi="Times New Roman"/>
      <w:i w:val="0"/>
      <w:iCs/>
      <w:color w:val="auto"/>
      <w:sz w:val="24"/>
    </w:rPr>
  </w:style>
  <w:style w:type="paragraph" w:styleId="Citat">
    <w:name w:val="Quote"/>
    <w:basedOn w:val="Normal"/>
    <w:next w:val="Normal"/>
    <w:link w:val="CitatTegn"/>
    <w:uiPriority w:val="29"/>
    <w:rsid w:val="000A3A49"/>
    <w:pPr>
      <w:spacing w:before="200"/>
      <w:ind w:right="864"/>
    </w:pPr>
    <w:rPr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3A49"/>
    <w:rPr>
      <w:rFonts w:ascii="Times New Roman" w:hAnsi="Times New Roman"/>
      <w:iCs/>
      <w:color w:val="404040" w:themeColor="text1" w:themeTint="BF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0A3A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right="864"/>
    </w:pPr>
    <w:rPr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3A49"/>
    <w:rPr>
      <w:rFonts w:ascii="Times New Roman" w:hAnsi="Times New Roman"/>
      <w:iCs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0E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0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72734\Downloads\javntekstur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A3F6-4AD1-470F-ADE4-882586D4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javntekstur</Template>
  <TotalTime>0</TotalTime>
  <Pages>3</Pages>
  <Words>405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Javntekstur</vt:lpstr>
    </vt:vector>
  </TitlesOfParts>
  <Company>Lógatænastan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Javntekstur</dc:title>
  <dc:subject>Javntekstur</dc:subject>
  <dc:creator>Elsa Magnussen</dc:creator>
  <cp:keywords>5. útgáva - desember 2020</cp:keywords>
  <dc:description>Javntekstur 5. útgáva - desember 2020</dc:description>
  <cp:lastModifiedBy>Hildur Magnadóttir</cp:lastModifiedBy>
  <cp:revision>2</cp:revision>
  <cp:lastPrinted>2016-03-15T10:55:00Z</cp:lastPrinted>
  <dcterms:created xsi:type="dcterms:W3CDTF">2024-07-11T10:30:00Z</dcterms:created>
  <dcterms:modified xsi:type="dcterms:W3CDTF">2024-07-11T10:30:00Z</dcterms:modified>
  <cp:contentStatus>5. útgáva - desember 2020</cp:contentStatus>
</cp:coreProperties>
</file>