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7EDCE" w14:textId="216E85C0" w:rsidR="009B0E21" w:rsidRDefault="009B0E21" w:rsidP="009B0E21">
      <w:pPr>
        <w:spacing w:after="0"/>
        <w:jc w:val="center"/>
        <w:rPr>
          <w:rFonts w:cs="Times New Roman"/>
          <w:b/>
          <w:sz w:val="32"/>
          <w:szCs w:val="32"/>
        </w:rPr>
      </w:pPr>
      <w:r>
        <w:rPr>
          <w:noProof/>
          <w:lang w:eastAsia="fo-FO"/>
        </w:rPr>
        <w:drawing>
          <wp:anchor distT="0" distB="0" distL="114300" distR="114300" simplePos="0" relativeHeight="251659264" behindDoc="0" locked="0" layoutInCell="1" allowOverlap="1" wp14:anchorId="764085C1" wp14:editId="245845B6">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B837D0">
        <w:rPr>
          <w:rFonts w:cs="Times New Roman"/>
          <w:b/>
          <w:sz w:val="32"/>
          <w:szCs w:val="32"/>
        </w:rPr>
        <w:t>Umhvørvismálaráðið</w:t>
      </w:r>
    </w:p>
    <w:p w14:paraId="51BAD3D9" w14:textId="77777777" w:rsidR="009B0E21" w:rsidRDefault="009B0E21" w:rsidP="009B0E21">
      <w:pPr>
        <w:spacing w:after="0"/>
        <w:rPr>
          <w:rStyle w:val="TypografiFed"/>
        </w:rPr>
      </w:pPr>
    </w:p>
    <w:p w14:paraId="075E07C6" w14:textId="77777777" w:rsidR="00DA1D46" w:rsidRDefault="00DA1D46" w:rsidP="00DA1D46">
      <w:pPr>
        <w:spacing w:after="0"/>
        <w:rPr>
          <w:rFonts w:cs="Times New Roman"/>
          <w:szCs w:val="24"/>
        </w:rPr>
      </w:pPr>
    </w:p>
    <w:tbl>
      <w:tblPr>
        <w:tblW w:w="0" w:type="auto"/>
        <w:jc w:val="right"/>
        <w:tblLook w:val="04A0" w:firstRow="1" w:lastRow="0" w:firstColumn="1" w:lastColumn="0" w:noHBand="0" w:noVBand="1"/>
      </w:tblPr>
      <w:tblGrid>
        <w:gridCol w:w="1523"/>
        <w:gridCol w:w="1629"/>
      </w:tblGrid>
      <w:tr w:rsidR="00576B49" w14:paraId="088E7DA4" w14:textId="77777777" w:rsidTr="00DA1D46">
        <w:trPr>
          <w:trHeight w:val="344"/>
          <w:jc w:val="right"/>
        </w:trPr>
        <w:tc>
          <w:tcPr>
            <w:tcW w:w="1523" w:type="dxa"/>
            <w:hideMark/>
          </w:tcPr>
          <w:p w14:paraId="3D5CE589" w14:textId="77777777" w:rsidR="00576B49" w:rsidRDefault="00576B49" w:rsidP="00DA1D46">
            <w:pPr>
              <w:spacing w:after="0" w:line="256" w:lineRule="auto"/>
              <w:rPr>
                <w:szCs w:val="24"/>
                <w:lang w:val="da-DK" w:eastAsia="fo-FO"/>
              </w:rPr>
            </w:pPr>
            <w:proofErr w:type="spellStart"/>
            <w:r>
              <w:rPr>
                <w:lang w:val="da-DK"/>
              </w:rPr>
              <w:t>Dagfesting</w:t>
            </w:r>
            <w:proofErr w:type="spellEnd"/>
            <w:r>
              <w:rPr>
                <w:lang w:val="da-DK"/>
              </w:rPr>
              <w:t>:</w:t>
            </w:r>
            <w:r>
              <w:rPr>
                <w:noProof/>
                <w:lang w:val="da-DK"/>
              </w:rPr>
              <w:t xml:space="preserve"> </w:t>
            </w:r>
          </w:p>
        </w:tc>
        <w:tc>
          <w:tcPr>
            <w:tcW w:w="1629" w:type="dxa"/>
            <w:hideMark/>
          </w:tcPr>
          <w:p w14:paraId="2FDE91DC" w14:textId="22CECF7C" w:rsidR="00576B49" w:rsidRDefault="00B837D0" w:rsidP="00DA1D46">
            <w:pPr>
              <w:tabs>
                <w:tab w:val="center" w:pos="4513"/>
                <w:tab w:val="right" w:pos="9026"/>
              </w:tabs>
              <w:spacing w:after="0" w:line="256" w:lineRule="auto"/>
              <w:rPr>
                <w:lang w:val="da-DK"/>
              </w:rPr>
            </w:pPr>
            <w:r>
              <w:rPr>
                <w:lang w:val="da-DK"/>
              </w:rPr>
              <w:t>2</w:t>
            </w:r>
            <w:r w:rsidR="00A962CF">
              <w:rPr>
                <w:lang w:val="da-DK"/>
              </w:rPr>
              <w:t>6</w:t>
            </w:r>
            <w:r>
              <w:rPr>
                <w:lang w:val="da-DK"/>
              </w:rPr>
              <w:t>. juni 2024</w:t>
            </w:r>
          </w:p>
        </w:tc>
      </w:tr>
      <w:tr w:rsidR="00576B49" w14:paraId="413E5A5E" w14:textId="77777777" w:rsidTr="00DA1D46">
        <w:trPr>
          <w:trHeight w:val="361"/>
          <w:jc w:val="right"/>
        </w:trPr>
        <w:tc>
          <w:tcPr>
            <w:tcW w:w="1523" w:type="dxa"/>
            <w:hideMark/>
          </w:tcPr>
          <w:p w14:paraId="5D76B273" w14:textId="77777777" w:rsidR="00576B49" w:rsidRDefault="00576B49" w:rsidP="00DA1D46">
            <w:pPr>
              <w:spacing w:after="0" w:line="256" w:lineRule="auto"/>
              <w:rPr>
                <w:lang w:val="da-DK"/>
              </w:rPr>
            </w:pPr>
            <w:proofErr w:type="spellStart"/>
            <w:r>
              <w:rPr>
                <w:lang w:val="da-DK"/>
              </w:rPr>
              <w:t>Mál</w:t>
            </w:r>
            <w:proofErr w:type="spellEnd"/>
            <w:r>
              <w:rPr>
                <w:lang w:val="da-DK"/>
              </w:rPr>
              <w:t xml:space="preserve"> nr.:</w:t>
            </w:r>
          </w:p>
        </w:tc>
        <w:tc>
          <w:tcPr>
            <w:tcW w:w="1629" w:type="dxa"/>
            <w:hideMark/>
          </w:tcPr>
          <w:p w14:paraId="2DA8D69F" w14:textId="2A1E020B" w:rsidR="00576B49" w:rsidRDefault="00B837D0" w:rsidP="00DA1D46">
            <w:pPr>
              <w:tabs>
                <w:tab w:val="center" w:pos="4513"/>
                <w:tab w:val="right" w:pos="9026"/>
              </w:tabs>
              <w:spacing w:after="0" w:line="256" w:lineRule="auto"/>
              <w:rPr>
                <w:lang w:val="da-DK"/>
              </w:rPr>
            </w:pPr>
            <w:r>
              <w:rPr>
                <w:lang w:val="da-DK"/>
              </w:rPr>
              <w:t>24/13759</w:t>
            </w:r>
          </w:p>
        </w:tc>
      </w:tr>
      <w:tr w:rsidR="00576B49" w14:paraId="3D539E8E" w14:textId="77777777" w:rsidTr="00B837D0">
        <w:trPr>
          <w:trHeight w:val="565"/>
          <w:jc w:val="right"/>
        </w:trPr>
        <w:tc>
          <w:tcPr>
            <w:tcW w:w="1523" w:type="dxa"/>
          </w:tcPr>
          <w:p w14:paraId="101DA25E" w14:textId="483E7300" w:rsidR="00576B49" w:rsidRDefault="00576B49" w:rsidP="00DA1D46">
            <w:pPr>
              <w:spacing w:after="0" w:line="256" w:lineRule="auto"/>
              <w:rPr>
                <w:lang w:val="da-DK"/>
              </w:rPr>
            </w:pPr>
          </w:p>
        </w:tc>
        <w:tc>
          <w:tcPr>
            <w:tcW w:w="1629" w:type="dxa"/>
          </w:tcPr>
          <w:p w14:paraId="51D396F9" w14:textId="5C4117E4" w:rsidR="00576B49" w:rsidRDefault="00576B49" w:rsidP="00DA1D46">
            <w:pPr>
              <w:tabs>
                <w:tab w:val="center" w:pos="4513"/>
                <w:tab w:val="right" w:pos="9026"/>
              </w:tabs>
              <w:spacing w:after="0" w:line="256" w:lineRule="auto"/>
              <w:rPr>
                <w:lang w:val="da-DK"/>
              </w:rPr>
            </w:pPr>
          </w:p>
        </w:tc>
      </w:tr>
    </w:tbl>
    <w:p w14:paraId="4BF68E18" w14:textId="4C119A33" w:rsidR="009B0E21" w:rsidRPr="009E508F" w:rsidRDefault="009E508F" w:rsidP="009E508F">
      <w:pPr>
        <w:spacing w:after="0"/>
        <w:jc w:val="center"/>
        <w:rPr>
          <w:rFonts w:cs="Times New Roman"/>
          <w:b/>
          <w:bCs/>
          <w:szCs w:val="24"/>
        </w:rPr>
      </w:pPr>
      <w:r>
        <w:rPr>
          <w:rFonts w:cs="Times New Roman"/>
          <w:b/>
          <w:bCs/>
          <w:szCs w:val="24"/>
        </w:rPr>
        <w:t>HOYRINGARSKRIV</w:t>
      </w:r>
    </w:p>
    <w:p w14:paraId="4CB606C2" w14:textId="77777777" w:rsidR="009B0E21" w:rsidRDefault="009B0E21" w:rsidP="009B0E21">
      <w:pPr>
        <w:spacing w:after="0"/>
        <w:rPr>
          <w:rStyle w:val="TypografiFed"/>
        </w:rPr>
      </w:pPr>
    </w:p>
    <w:p w14:paraId="20B18376" w14:textId="0B2CBEBE" w:rsidR="009B0E21" w:rsidRPr="00B837D0" w:rsidRDefault="009B0E21" w:rsidP="00B837D0">
      <w:pPr>
        <w:spacing w:after="0"/>
        <w:jc w:val="center"/>
        <w:rPr>
          <w:szCs w:val="24"/>
        </w:rPr>
      </w:pPr>
      <w:r>
        <w:rPr>
          <w:rFonts w:cs="Times New Roman"/>
          <w:b/>
          <w:szCs w:val="24"/>
        </w:rPr>
        <w:t>Uppskot til</w:t>
      </w:r>
      <w:r w:rsidR="00B837D0">
        <w:rPr>
          <w:rFonts w:cs="Times New Roman"/>
          <w:b/>
          <w:szCs w:val="24"/>
        </w:rPr>
        <w:t xml:space="preserve"> kunngerð um broyting í kunngerð um taðing </w:t>
      </w:r>
      <w:r w:rsidR="00077808">
        <w:rPr>
          <w:rFonts w:cs="Times New Roman"/>
          <w:b/>
          <w:szCs w:val="24"/>
        </w:rPr>
        <w:t xml:space="preserve">sent </w:t>
      </w:r>
      <w:r w:rsidR="00B837D0">
        <w:rPr>
          <w:rFonts w:cs="Times New Roman"/>
          <w:b/>
          <w:szCs w:val="24"/>
        </w:rPr>
        <w:t>til hoyringar</w:t>
      </w:r>
    </w:p>
    <w:p w14:paraId="550D0987" w14:textId="4E9E3618" w:rsidR="009B0E21" w:rsidRDefault="009B0E21" w:rsidP="009B0E21">
      <w:pPr>
        <w:spacing w:after="0"/>
        <w:jc w:val="center"/>
        <w:rPr>
          <w:rFonts w:cs="Times New Roman"/>
          <w:szCs w:val="24"/>
        </w:rPr>
      </w:pPr>
    </w:p>
    <w:p w14:paraId="255497BF" w14:textId="09D71523" w:rsidR="00B837D0" w:rsidRDefault="00077808" w:rsidP="00B837D0">
      <w:pPr>
        <w:spacing w:after="0"/>
        <w:rPr>
          <w:rFonts w:cs="Times New Roman"/>
          <w:szCs w:val="24"/>
        </w:rPr>
      </w:pPr>
      <w:r>
        <w:rPr>
          <w:rFonts w:cs="Times New Roman"/>
          <w:szCs w:val="24"/>
        </w:rPr>
        <w:t>Umhvørvismálaráðið sendir við hesum uppskot til kunngerð um broyting í kunngerð nr. 79 frá 29. mai 2012, sum broytt við kunngerð nr. 11 frá 18. februar 2020, (taðingarkunngerðini) til hoyringar.</w:t>
      </w:r>
    </w:p>
    <w:p w14:paraId="4B1C0281" w14:textId="77777777" w:rsidR="00077808" w:rsidRDefault="00077808" w:rsidP="00B837D0">
      <w:pPr>
        <w:spacing w:after="0"/>
        <w:rPr>
          <w:rFonts w:cs="Times New Roman"/>
          <w:szCs w:val="24"/>
        </w:rPr>
      </w:pPr>
    </w:p>
    <w:p w14:paraId="54586F43" w14:textId="7CF4A66E" w:rsidR="00077808" w:rsidRDefault="00077808" w:rsidP="00B837D0">
      <w:pPr>
        <w:spacing w:after="0"/>
        <w:rPr>
          <w:rFonts w:cs="Times New Roman"/>
          <w:szCs w:val="24"/>
        </w:rPr>
      </w:pPr>
      <w:r>
        <w:rPr>
          <w:rFonts w:cs="Times New Roman"/>
          <w:szCs w:val="24"/>
        </w:rPr>
        <w:t>Endamálið við uppskotinum er at strika</w:t>
      </w:r>
      <w:r w:rsidR="000F559D">
        <w:rPr>
          <w:rFonts w:cs="Times New Roman"/>
          <w:szCs w:val="24"/>
        </w:rPr>
        <w:t xml:space="preserve"> </w:t>
      </w:r>
      <w:r>
        <w:rPr>
          <w:rFonts w:cs="Times New Roman"/>
          <w:szCs w:val="24"/>
        </w:rPr>
        <w:t xml:space="preserve">§ 6, stk. 3, </w:t>
      </w:r>
      <w:r w:rsidR="000F559D">
        <w:rPr>
          <w:rFonts w:cs="Times New Roman"/>
          <w:szCs w:val="24"/>
        </w:rPr>
        <w:t xml:space="preserve">sum heimilar kommunum </w:t>
      </w:r>
      <w:r>
        <w:rPr>
          <w:rFonts w:cs="Times New Roman"/>
          <w:szCs w:val="24"/>
        </w:rPr>
        <w:t>at geva undantaksloyvi</w:t>
      </w:r>
      <w:r w:rsidR="009E508F">
        <w:rPr>
          <w:rFonts w:cs="Times New Roman"/>
          <w:szCs w:val="24"/>
        </w:rPr>
        <w:t xml:space="preserve"> at taða</w:t>
      </w:r>
      <w:r>
        <w:rPr>
          <w:rFonts w:cs="Times New Roman"/>
          <w:szCs w:val="24"/>
        </w:rPr>
        <w:t xml:space="preserve"> uttan fyri taðingartíðarskeiðið sambært § 6, stk. 1, sum er millum 15. mars og 15. oktobur. </w:t>
      </w:r>
      <w:r w:rsidR="009E508F">
        <w:rPr>
          <w:rFonts w:cs="Times New Roman"/>
          <w:szCs w:val="24"/>
        </w:rPr>
        <w:t>Hetta so</w:t>
      </w:r>
      <w:r w:rsidR="000F559D">
        <w:rPr>
          <w:rFonts w:cs="Times New Roman"/>
          <w:szCs w:val="24"/>
        </w:rPr>
        <w:t xml:space="preserve"> at </w:t>
      </w:r>
      <w:r w:rsidR="00AA0CF9">
        <w:rPr>
          <w:rFonts w:cs="Times New Roman"/>
          <w:szCs w:val="24"/>
        </w:rPr>
        <w:t>tøð ikki verða breidd</w:t>
      </w:r>
      <w:r w:rsidR="000F559D">
        <w:rPr>
          <w:rFonts w:cs="Times New Roman"/>
          <w:szCs w:val="24"/>
        </w:rPr>
        <w:t>, tá ið</w:t>
      </w:r>
      <w:r w:rsidR="009E508F">
        <w:rPr>
          <w:rFonts w:cs="Times New Roman"/>
          <w:szCs w:val="24"/>
        </w:rPr>
        <w:t xml:space="preserve"> jørðin i</w:t>
      </w:r>
      <w:r w:rsidR="00D34A78">
        <w:rPr>
          <w:rFonts w:cs="Times New Roman"/>
          <w:szCs w:val="24"/>
        </w:rPr>
        <w:t>lla</w:t>
      </w:r>
      <w:r w:rsidR="009E508F">
        <w:rPr>
          <w:rFonts w:cs="Times New Roman"/>
          <w:szCs w:val="24"/>
        </w:rPr>
        <w:t xml:space="preserve"> megnar at taka ímó</w:t>
      </w:r>
      <w:r w:rsidR="000F559D">
        <w:rPr>
          <w:rFonts w:cs="Times New Roman"/>
          <w:szCs w:val="24"/>
        </w:rPr>
        <w:t>ti.</w:t>
      </w:r>
    </w:p>
    <w:p w14:paraId="635D3974" w14:textId="77777777" w:rsidR="00077808" w:rsidRDefault="00077808" w:rsidP="00B837D0">
      <w:pPr>
        <w:spacing w:after="0"/>
        <w:rPr>
          <w:rFonts w:cs="Times New Roman"/>
          <w:szCs w:val="24"/>
        </w:rPr>
      </w:pPr>
    </w:p>
    <w:p w14:paraId="7BF340A8" w14:textId="0AB8B78B" w:rsidR="00D34A78" w:rsidRDefault="00D34A78" w:rsidP="00D34A78">
      <w:pPr>
        <w:spacing w:after="0"/>
        <w:rPr>
          <w:rFonts w:cs="Times New Roman"/>
          <w:szCs w:val="24"/>
        </w:rPr>
      </w:pPr>
      <w:r>
        <w:rPr>
          <w:rFonts w:cs="Times New Roman"/>
          <w:szCs w:val="24"/>
        </w:rPr>
        <w:t xml:space="preserve">Sambært § 1 í umhvørvisverndarlógini er endamálið við lógini m.a. at </w:t>
      </w:r>
      <w:r w:rsidR="000F559D">
        <w:rPr>
          <w:rFonts w:cs="Times New Roman"/>
          <w:szCs w:val="24"/>
        </w:rPr>
        <w:t>forða fyri</w:t>
      </w:r>
      <w:r>
        <w:rPr>
          <w:rFonts w:cs="Times New Roman"/>
          <w:szCs w:val="24"/>
        </w:rPr>
        <w:t xml:space="preserve">, at jørð og vatn verða dálkað, og sambært § 1 í taðingarkunngerðini er endamálið við kunngerðini m.a. at tryggja, at taðing ikki elvir til umhvørvisdálking, men verða brúkt sum tilfeingi. Vísandi til </w:t>
      </w:r>
      <w:r w:rsidR="000F559D">
        <w:rPr>
          <w:rFonts w:cs="Times New Roman"/>
          <w:szCs w:val="24"/>
        </w:rPr>
        <w:t>endamálið við</w:t>
      </w:r>
      <w:r>
        <w:rPr>
          <w:rFonts w:cs="Times New Roman"/>
          <w:szCs w:val="24"/>
        </w:rPr>
        <w:t xml:space="preserve"> </w:t>
      </w:r>
      <w:r w:rsidR="000F559D">
        <w:rPr>
          <w:rFonts w:cs="Times New Roman"/>
          <w:szCs w:val="24"/>
        </w:rPr>
        <w:t>umhvørvisverndarlógini og taðingarkunngerðini</w:t>
      </w:r>
      <w:r>
        <w:rPr>
          <w:rFonts w:cs="Times New Roman"/>
          <w:szCs w:val="24"/>
        </w:rPr>
        <w:t xml:space="preserve"> ger landsstýriskvinnan í umhvørvismálum við hesum greitt, </w:t>
      </w:r>
      <w:r w:rsidR="000F559D">
        <w:rPr>
          <w:rFonts w:cs="Times New Roman"/>
          <w:szCs w:val="24"/>
        </w:rPr>
        <w:t>at</w:t>
      </w:r>
      <w:r>
        <w:rPr>
          <w:rFonts w:cs="Times New Roman"/>
          <w:szCs w:val="24"/>
        </w:rPr>
        <w:t xml:space="preserve"> tøð</w:t>
      </w:r>
      <w:r w:rsidR="000F559D">
        <w:rPr>
          <w:rFonts w:cs="Times New Roman"/>
          <w:szCs w:val="24"/>
        </w:rPr>
        <w:t xml:space="preserve"> ikki skulu </w:t>
      </w:r>
      <w:r w:rsidR="00AA0CF9">
        <w:rPr>
          <w:rFonts w:cs="Times New Roman"/>
          <w:szCs w:val="24"/>
        </w:rPr>
        <w:t>breiðast</w:t>
      </w:r>
      <w:r w:rsidR="000F559D">
        <w:rPr>
          <w:rFonts w:cs="Times New Roman"/>
          <w:szCs w:val="24"/>
        </w:rPr>
        <w:t xml:space="preserve"> á bø og í haga</w:t>
      </w:r>
      <w:r>
        <w:rPr>
          <w:rFonts w:cs="Times New Roman"/>
          <w:szCs w:val="24"/>
        </w:rPr>
        <w:t xml:space="preserve">, </w:t>
      </w:r>
      <w:r w:rsidR="000F559D">
        <w:rPr>
          <w:rFonts w:cs="Times New Roman"/>
          <w:szCs w:val="24"/>
        </w:rPr>
        <w:t>tá ið</w:t>
      </w:r>
      <w:r>
        <w:rPr>
          <w:rFonts w:cs="Times New Roman"/>
          <w:szCs w:val="24"/>
        </w:rPr>
        <w:t xml:space="preserve"> jørðin illa megnar at taka ímóti</w:t>
      </w:r>
      <w:r w:rsidR="000F559D">
        <w:rPr>
          <w:rFonts w:cs="Times New Roman"/>
          <w:szCs w:val="24"/>
        </w:rPr>
        <w:t>.</w:t>
      </w:r>
    </w:p>
    <w:p w14:paraId="19CE26EE" w14:textId="77777777" w:rsidR="00B837D0" w:rsidRDefault="00B837D0" w:rsidP="00B837D0">
      <w:pPr>
        <w:spacing w:after="0"/>
        <w:rPr>
          <w:rFonts w:cs="Times New Roman"/>
          <w:szCs w:val="24"/>
        </w:rPr>
      </w:pPr>
    </w:p>
    <w:p w14:paraId="079697DB" w14:textId="375B9A39" w:rsidR="000F559D" w:rsidRDefault="00B837D0" w:rsidP="000F559D">
      <w:pPr>
        <w:spacing w:after="0"/>
        <w:rPr>
          <w:rFonts w:cs="Times New Roman"/>
          <w:szCs w:val="24"/>
        </w:rPr>
      </w:pPr>
      <w:r>
        <w:rPr>
          <w:rFonts w:cs="Times New Roman"/>
          <w:szCs w:val="24"/>
        </w:rPr>
        <w:t>Í 2020 gjørdi</w:t>
      </w:r>
      <w:r w:rsidR="00077808">
        <w:rPr>
          <w:rFonts w:cs="Times New Roman"/>
          <w:szCs w:val="24"/>
        </w:rPr>
        <w:t xml:space="preserve"> táverandi</w:t>
      </w:r>
      <w:r>
        <w:rPr>
          <w:rFonts w:cs="Times New Roman"/>
          <w:szCs w:val="24"/>
        </w:rPr>
        <w:t xml:space="preserve"> landsstýrismaður eina broyting í kunngerðini, sum við eini nýggjari § 6, stk. 3, heimilaði kommunum </w:t>
      </w:r>
      <w:r>
        <w:rPr>
          <w:rFonts w:cs="Times New Roman"/>
          <w:i/>
          <w:iCs/>
          <w:szCs w:val="24"/>
        </w:rPr>
        <w:t>í serligum førum</w:t>
      </w:r>
      <w:r>
        <w:rPr>
          <w:rFonts w:cs="Times New Roman"/>
          <w:szCs w:val="24"/>
        </w:rPr>
        <w:t xml:space="preserve"> at geva einum ábyrgdara tíðaravmarkað undantaksloyvi </w:t>
      </w:r>
      <w:r w:rsidR="00A903C8">
        <w:rPr>
          <w:rFonts w:cs="Times New Roman"/>
          <w:szCs w:val="24"/>
        </w:rPr>
        <w:t xml:space="preserve">at </w:t>
      </w:r>
      <w:r>
        <w:rPr>
          <w:rFonts w:cs="Times New Roman"/>
          <w:szCs w:val="24"/>
        </w:rPr>
        <w:t xml:space="preserve">taða uttan fyri taðingartíðarskeiðið, </w:t>
      </w:r>
      <w:r>
        <w:rPr>
          <w:rFonts w:cs="Times New Roman"/>
          <w:i/>
          <w:iCs/>
          <w:szCs w:val="24"/>
        </w:rPr>
        <w:t>um týðandi fyrilit fyri øðrum virksemi tala fyri tí</w:t>
      </w:r>
      <w:r>
        <w:rPr>
          <w:rFonts w:cs="Times New Roman"/>
          <w:szCs w:val="24"/>
        </w:rPr>
        <w:t xml:space="preserve">. </w:t>
      </w:r>
      <w:r w:rsidR="009E508F">
        <w:rPr>
          <w:rFonts w:cs="Times New Roman"/>
          <w:szCs w:val="24"/>
        </w:rPr>
        <w:t xml:space="preserve">Orsøkin til kunngerðarbroytingina var sambært hoyringarskrivi frá Umhvørvis- og vinnumálaráðnum dagfestum 13. januar 2020, at </w:t>
      </w:r>
      <w:r w:rsidR="009E508F">
        <w:t xml:space="preserve">tørvur í onkrum føri hevði verið á at útseta ætlaða taðing út um 15. oktobur </w:t>
      </w:r>
      <w:r w:rsidR="009E508F" w:rsidRPr="009E508F">
        <w:rPr>
          <w:i/>
          <w:iCs/>
        </w:rPr>
        <w:t>orsakað av týðandi fyrilitum fyri alivirksemi út fyri taðingarlendinum</w:t>
      </w:r>
      <w:r>
        <w:rPr>
          <w:rFonts w:cs="Times New Roman"/>
          <w:szCs w:val="24"/>
        </w:rPr>
        <w:t xml:space="preserve">. </w:t>
      </w:r>
      <w:r w:rsidR="000F559D">
        <w:rPr>
          <w:rFonts w:cs="Times New Roman"/>
          <w:szCs w:val="24"/>
        </w:rPr>
        <w:t xml:space="preserve">Hetta hóast tað sambært § 8, stk. 1, í taðingarkunngerðini er bannað at taða soleiðis, at tøð seta </w:t>
      </w:r>
      <w:r w:rsidR="000F559D">
        <w:rPr>
          <w:rFonts w:cs="Times New Roman"/>
          <w:i/>
          <w:iCs/>
          <w:szCs w:val="24"/>
        </w:rPr>
        <w:t>í áir, løkir, vøtn, tjarnir, á strondina ella á sjógv</w:t>
      </w:r>
      <w:r w:rsidR="000F559D">
        <w:rPr>
          <w:rFonts w:cs="Times New Roman"/>
          <w:szCs w:val="24"/>
        </w:rPr>
        <w:t xml:space="preserve">. </w:t>
      </w:r>
    </w:p>
    <w:p w14:paraId="78BF64C1" w14:textId="77777777" w:rsidR="00B837D0" w:rsidRDefault="00B837D0" w:rsidP="00B837D0">
      <w:pPr>
        <w:spacing w:after="0"/>
        <w:rPr>
          <w:rFonts w:cs="Times New Roman"/>
          <w:szCs w:val="24"/>
        </w:rPr>
      </w:pPr>
    </w:p>
    <w:p w14:paraId="618929AF" w14:textId="2C75410B" w:rsidR="00B837D0" w:rsidRDefault="00B837D0" w:rsidP="00B837D0">
      <w:pPr>
        <w:spacing w:after="0"/>
        <w:rPr>
          <w:rFonts w:cs="Times New Roman"/>
          <w:szCs w:val="24"/>
        </w:rPr>
      </w:pPr>
      <w:r>
        <w:rPr>
          <w:rFonts w:cs="Times New Roman"/>
          <w:szCs w:val="24"/>
        </w:rPr>
        <w:t>Í sambandi við kunngerðarbroytingina í 2020 mæltu flestu hoyringarpartar frá allari taðing uttan fyri taðingartíðarskeiðið. Víst varð á, at lítið lívfrøðiligt virksemi er í svørðinum í vetrarhálvuni, og at stórur vandi tí er fyri, at tøðini verða liggjandi oman á bønum í longri tíð og kunnu renna út í økir, har ið tey ikki eru ætlað at fara. Víst varð á, at taðingarkunngerðin longu frammanundan loyvdi taðing so langt út á heystið, at jørðin hev</w:t>
      </w:r>
      <w:r w:rsidR="009E508F">
        <w:rPr>
          <w:rFonts w:cs="Times New Roman"/>
          <w:szCs w:val="24"/>
        </w:rPr>
        <w:t>ði</w:t>
      </w:r>
      <w:r>
        <w:rPr>
          <w:rFonts w:cs="Times New Roman"/>
          <w:szCs w:val="24"/>
        </w:rPr>
        <w:t xml:space="preserve"> ilt við at taka ímóti tøðunum, og at fleiri dømir høvdu verið um, at taðing hevði dálkað áir, vøtn og firðir. Heldur enn at linka kunngerðina við undantaksheimildum varð mælt til at gera eina ætlan fyri, hvussu </w:t>
      </w:r>
      <w:r w:rsidR="00A903C8">
        <w:rPr>
          <w:rFonts w:cs="Times New Roman"/>
          <w:szCs w:val="24"/>
        </w:rPr>
        <w:t>forðast</w:t>
      </w:r>
      <w:r>
        <w:rPr>
          <w:rFonts w:cs="Times New Roman"/>
          <w:szCs w:val="24"/>
        </w:rPr>
        <w:t xml:space="preserve"> kundi fyri tí, sum longu frammanundan var ein umhvørvistrupulleiki.</w:t>
      </w:r>
    </w:p>
    <w:p w14:paraId="66111C3A" w14:textId="77777777" w:rsidR="00B837D0" w:rsidRDefault="00B837D0" w:rsidP="00B837D0">
      <w:pPr>
        <w:spacing w:after="0"/>
        <w:rPr>
          <w:rFonts w:cs="Times New Roman"/>
          <w:szCs w:val="24"/>
        </w:rPr>
      </w:pPr>
    </w:p>
    <w:p w14:paraId="7670A697" w14:textId="56E6C492" w:rsidR="00B837D0" w:rsidRDefault="00B837D0" w:rsidP="00B837D0">
      <w:pPr>
        <w:spacing w:after="0"/>
        <w:rPr>
          <w:rFonts w:cs="Times New Roman"/>
          <w:szCs w:val="24"/>
        </w:rPr>
      </w:pPr>
      <w:r>
        <w:rPr>
          <w:rFonts w:cs="Times New Roman"/>
          <w:szCs w:val="24"/>
        </w:rPr>
        <w:lastRenderedPageBreak/>
        <w:t>Hóa</w:t>
      </w:r>
      <w:r w:rsidR="00D34A78">
        <w:rPr>
          <w:rFonts w:cs="Times New Roman"/>
          <w:szCs w:val="24"/>
        </w:rPr>
        <w:t xml:space="preserve">st </w:t>
      </w:r>
      <w:r>
        <w:rPr>
          <w:rFonts w:cs="Times New Roman"/>
          <w:szCs w:val="24"/>
        </w:rPr>
        <w:t>heimild</w:t>
      </w:r>
      <w:r w:rsidR="00D34A78">
        <w:rPr>
          <w:rFonts w:cs="Times New Roman"/>
          <w:szCs w:val="24"/>
        </w:rPr>
        <w:t>in í § 6, stk. 3, er avmarkað til</w:t>
      </w:r>
      <w:r>
        <w:rPr>
          <w:rFonts w:cs="Times New Roman"/>
          <w:szCs w:val="24"/>
        </w:rPr>
        <w:t xml:space="preserve"> at veita undantøk </w:t>
      </w:r>
      <w:r>
        <w:rPr>
          <w:rFonts w:cs="Times New Roman"/>
          <w:i/>
          <w:iCs/>
          <w:szCs w:val="24"/>
        </w:rPr>
        <w:t>í serligum førum</w:t>
      </w:r>
      <w:r>
        <w:rPr>
          <w:rFonts w:cs="Times New Roman"/>
          <w:szCs w:val="24"/>
        </w:rPr>
        <w:t xml:space="preserve">, </w:t>
      </w:r>
      <w:r>
        <w:rPr>
          <w:rFonts w:cs="Times New Roman"/>
          <w:i/>
          <w:iCs/>
          <w:szCs w:val="24"/>
        </w:rPr>
        <w:t>um týðandi fyrilit fyri øðrum virksemi tala fyri tí</w:t>
      </w:r>
      <w:r>
        <w:rPr>
          <w:rFonts w:cs="Times New Roman"/>
          <w:szCs w:val="24"/>
        </w:rPr>
        <w:t xml:space="preserve">, er landsstýriskvinnan gjørd var við, at kommunur, sum eru eftirlitsmyndugleiki sambært kunngerðini, </w:t>
      </w:r>
      <w:r w:rsidR="00A903C8">
        <w:rPr>
          <w:rFonts w:cs="Times New Roman"/>
          <w:szCs w:val="24"/>
        </w:rPr>
        <w:t>javnan</w:t>
      </w:r>
      <w:r>
        <w:rPr>
          <w:rFonts w:cs="Times New Roman"/>
          <w:szCs w:val="24"/>
        </w:rPr>
        <w:t xml:space="preserve"> veita undan</w:t>
      </w:r>
      <w:r w:rsidR="005B78CD">
        <w:rPr>
          <w:rFonts w:cs="Times New Roman"/>
          <w:szCs w:val="24"/>
        </w:rPr>
        <w:t>taksloyvi sambært ásetingini</w:t>
      </w:r>
      <w:r>
        <w:rPr>
          <w:rFonts w:cs="Times New Roman"/>
          <w:szCs w:val="24"/>
        </w:rPr>
        <w:t xml:space="preserve">, uttan at víst verður til </w:t>
      </w:r>
      <w:r w:rsidRPr="009E508F">
        <w:rPr>
          <w:rFonts w:cs="Times New Roman"/>
          <w:szCs w:val="24"/>
        </w:rPr>
        <w:t>týðandi fyrilit fyri øðrum virksemi</w:t>
      </w:r>
      <w:r>
        <w:rPr>
          <w:rFonts w:cs="Times New Roman"/>
          <w:szCs w:val="24"/>
        </w:rPr>
        <w:t xml:space="preserve">. Ásetingin verður sostatt </w:t>
      </w:r>
      <w:r w:rsidR="00D34A78">
        <w:rPr>
          <w:rFonts w:cs="Times New Roman"/>
          <w:szCs w:val="24"/>
        </w:rPr>
        <w:t xml:space="preserve">í stóran mun </w:t>
      </w:r>
      <w:r>
        <w:rPr>
          <w:rFonts w:cs="Times New Roman"/>
          <w:szCs w:val="24"/>
        </w:rPr>
        <w:t>skeivt umsitin og brúkt til at geva undantaksloyvir ímóti</w:t>
      </w:r>
      <w:r w:rsidR="009E508F">
        <w:rPr>
          <w:rFonts w:cs="Times New Roman"/>
          <w:szCs w:val="24"/>
        </w:rPr>
        <w:t xml:space="preserve"> </w:t>
      </w:r>
      <w:r>
        <w:rPr>
          <w:rFonts w:cs="Times New Roman"/>
          <w:szCs w:val="24"/>
        </w:rPr>
        <w:t xml:space="preserve">høvuðsendamálinum við taðingarkunngerðini, sum er at tryggja, at taðing ikki elvir til umhvørvisdálking. Til at </w:t>
      </w:r>
      <w:r w:rsidR="00A903C8">
        <w:rPr>
          <w:rFonts w:cs="Times New Roman"/>
          <w:szCs w:val="24"/>
        </w:rPr>
        <w:t>forða fyri</w:t>
      </w:r>
      <w:r>
        <w:rPr>
          <w:rFonts w:cs="Times New Roman"/>
          <w:szCs w:val="24"/>
        </w:rPr>
        <w:t xml:space="preserve"> hesum hevur landsstýriskvinnan í umhvørvismálum í hyggju at strika undantaksheimildina </w:t>
      </w:r>
      <w:r w:rsidR="00D34A78">
        <w:rPr>
          <w:rFonts w:cs="Times New Roman"/>
          <w:szCs w:val="24"/>
        </w:rPr>
        <w:t>í § 6, stk. 3</w:t>
      </w:r>
      <w:r>
        <w:rPr>
          <w:rFonts w:cs="Times New Roman"/>
          <w:szCs w:val="24"/>
        </w:rPr>
        <w:t>.</w:t>
      </w:r>
    </w:p>
    <w:p w14:paraId="5AB3E59E" w14:textId="77777777" w:rsidR="00B837D0" w:rsidRDefault="00B837D0" w:rsidP="00B837D0">
      <w:pPr>
        <w:spacing w:after="0"/>
        <w:rPr>
          <w:rFonts w:cs="Times New Roman"/>
          <w:szCs w:val="24"/>
        </w:rPr>
      </w:pPr>
    </w:p>
    <w:p w14:paraId="37E5F2CC" w14:textId="50044D80" w:rsidR="009E508F" w:rsidRDefault="00B837D0" w:rsidP="009E508F">
      <w:pPr>
        <w:spacing w:after="0"/>
        <w:rPr>
          <w:rFonts w:cs="Times New Roman"/>
          <w:szCs w:val="24"/>
        </w:rPr>
      </w:pPr>
      <w:r>
        <w:rPr>
          <w:rFonts w:cs="Times New Roman"/>
          <w:szCs w:val="24"/>
        </w:rPr>
        <w:t>Ætlanin ber í sær, at undantaksheimildin</w:t>
      </w:r>
      <w:r w:rsidR="00A903C8">
        <w:rPr>
          <w:rFonts w:cs="Times New Roman"/>
          <w:szCs w:val="24"/>
        </w:rPr>
        <w:t xml:space="preserve"> í </w:t>
      </w:r>
      <w:r>
        <w:rPr>
          <w:rFonts w:cs="Times New Roman"/>
          <w:szCs w:val="24"/>
        </w:rPr>
        <w:t>§ 6, stk. 3, verður strikað,</w:t>
      </w:r>
      <w:r w:rsidR="000F559D">
        <w:rPr>
          <w:rFonts w:cs="Times New Roman"/>
          <w:szCs w:val="24"/>
        </w:rPr>
        <w:t xml:space="preserve"> o</w:t>
      </w:r>
      <w:r w:rsidR="005B78CD">
        <w:rPr>
          <w:rFonts w:cs="Times New Roman"/>
          <w:szCs w:val="24"/>
        </w:rPr>
        <w:t>g</w:t>
      </w:r>
      <w:r>
        <w:rPr>
          <w:rFonts w:cs="Times New Roman"/>
          <w:szCs w:val="24"/>
        </w:rPr>
        <w:t xml:space="preserve"> </w:t>
      </w:r>
      <w:r w:rsidR="005B78CD">
        <w:rPr>
          <w:rFonts w:cs="Times New Roman"/>
          <w:szCs w:val="24"/>
        </w:rPr>
        <w:t xml:space="preserve">at </w:t>
      </w:r>
      <w:r>
        <w:rPr>
          <w:rFonts w:cs="Times New Roman"/>
          <w:szCs w:val="24"/>
        </w:rPr>
        <w:t>vent verður aftur til støðuna, sum hon var millum 2017 og 2020. Tað ber í sær, at tað aftur verður bannað at taða uttan fyri taðingartíðarskeiðið millum 15. mars og 15. oktobur.</w:t>
      </w:r>
      <w:r w:rsidR="000F559D">
        <w:rPr>
          <w:rFonts w:cs="Times New Roman"/>
          <w:szCs w:val="24"/>
        </w:rPr>
        <w:t xml:space="preserve"> Møguligar avbjóðingar við atliti at taðgoymslu, taðnýtslu o.ø. verða tí at loysa á annan hátt enn við at taða uttan fyri taðingartíðarskeiðið sambært taðingarkunngerðini.</w:t>
      </w:r>
    </w:p>
    <w:p w14:paraId="53D38E09" w14:textId="77777777" w:rsidR="00CD3FDB" w:rsidRDefault="00CD3FDB" w:rsidP="009E508F">
      <w:pPr>
        <w:spacing w:after="0"/>
        <w:rPr>
          <w:rFonts w:cs="Times New Roman"/>
          <w:szCs w:val="24"/>
        </w:rPr>
      </w:pPr>
    </w:p>
    <w:p w14:paraId="4525144C" w14:textId="58DB2752" w:rsidR="00B837D0" w:rsidRDefault="00C23390" w:rsidP="00B837D0">
      <w:pPr>
        <w:spacing w:after="0"/>
        <w:rPr>
          <w:rFonts w:cs="Times New Roman"/>
          <w:szCs w:val="24"/>
        </w:rPr>
      </w:pPr>
      <w:r>
        <w:rPr>
          <w:rFonts w:cs="Times New Roman"/>
          <w:szCs w:val="24"/>
        </w:rPr>
        <w:t>Aftur at hesum</w:t>
      </w:r>
      <w:r w:rsidR="00CD3FDB">
        <w:rPr>
          <w:rFonts w:cs="Times New Roman"/>
          <w:szCs w:val="24"/>
        </w:rPr>
        <w:t xml:space="preserve"> verða smærri tillagingar gjørdar í ymsum øðrum ásetingum, eina mest til at leggja upp fyri</w:t>
      </w:r>
      <w:r>
        <w:rPr>
          <w:rFonts w:cs="Times New Roman"/>
          <w:szCs w:val="24"/>
        </w:rPr>
        <w:t xml:space="preserve"> broyttum</w:t>
      </w:r>
      <w:r w:rsidR="00CD3FDB">
        <w:rPr>
          <w:rFonts w:cs="Times New Roman"/>
          <w:szCs w:val="24"/>
        </w:rPr>
        <w:t xml:space="preserve"> viðurskift</w:t>
      </w:r>
      <w:r>
        <w:rPr>
          <w:rFonts w:cs="Times New Roman"/>
          <w:szCs w:val="24"/>
        </w:rPr>
        <w:t>um,</w:t>
      </w:r>
      <w:r w:rsidR="00CD3FDB">
        <w:rPr>
          <w:rFonts w:cs="Times New Roman"/>
          <w:szCs w:val="24"/>
        </w:rPr>
        <w:t xml:space="preserve"> síðan biogassverkið fór undir sítt virksemi. Allýsingin av ábyrgdaranum í § 3, nr. 1, verður </w:t>
      </w:r>
      <w:r>
        <w:rPr>
          <w:rFonts w:cs="Times New Roman"/>
          <w:szCs w:val="24"/>
        </w:rPr>
        <w:t>tillagað</w:t>
      </w:r>
      <w:r w:rsidR="00CD3FDB">
        <w:rPr>
          <w:rFonts w:cs="Times New Roman"/>
          <w:szCs w:val="24"/>
        </w:rPr>
        <w:t xml:space="preserve">, so </w:t>
      </w:r>
      <w:r w:rsidR="00C70E28">
        <w:rPr>
          <w:rFonts w:cs="Times New Roman"/>
          <w:szCs w:val="24"/>
        </w:rPr>
        <w:t>at ábyrgdarin verður</w:t>
      </w:r>
      <w:r w:rsidR="00CD3FDB">
        <w:rPr>
          <w:rFonts w:cs="Times New Roman"/>
          <w:szCs w:val="24"/>
        </w:rPr>
        <w:t xml:space="preserve"> tann, sum eigur tøðini, heldur enn tann, sum eigur ella festir </w:t>
      </w:r>
      <w:r w:rsidR="00C70E28">
        <w:rPr>
          <w:rFonts w:cs="Times New Roman"/>
          <w:szCs w:val="24"/>
        </w:rPr>
        <w:t xml:space="preserve">ávíst </w:t>
      </w:r>
      <w:r w:rsidR="00CD3FDB">
        <w:rPr>
          <w:rFonts w:cs="Times New Roman"/>
          <w:szCs w:val="24"/>
        </w:rPr>
        <w:t>jarðarlendi.</w:t>
      </w:r>
      <w:r w:rsidR="00E11ADF">
        <w:rPr>
          <w:rFonts w:cs="Times New Roman"/>
          <w:szCs w:val="24"/>
        </w:rPr>
        <w:t xml:space="preserve"> </w:t>
      </w:r>
      <w:r w:rsidR="00CD3FDB">
        <w:rPr>
          <w:rFonts w:cs="Times New Roman"/>
          <w:szCs w:val="24"/>
        </w:rPr>
        <w:t>Skyldan sambært § 10 at rúma tí, sum svarar til seks mánaða taðframleiðslu verður umorðað, so at tað í staðin bara verður staðfest, at ábyrgdarin skal syrgja fyri goymslu av egnum tøðum</w:t>
      </w:r>
      <w:r w:rsidR="00E11ADF">
        <w:rPr>
          <w:rFonts w:cs="Times New Roman"/>
          <w:szCs w:val="24"/>
        </w:rPr>
        <w:t xml:space="preserve">. Í nýggjum stk. 2 verður ásett, at </w:t>
      </w:r>
      <w:r>
        <w:rPr>
          <w:rFonts w:cs="Times New Roman"/>
          <w:szCs w:val="24"/>
        </w:rPr>
        <w:t>goymslu</w:t>
      </w:r>
      <w:r w:rsidR="00E11ADF">
        <w:rPr>
          <w:rFonts w:cs="Times New Roman"/>
          <w:szCs w:val="24"/>
        </w:rPr>
        <w:t>skyldan sambært § 10 eisini fevnir um</w:t>
      </w:r>
      <w:r w:rsidR="00E11ADF">
        <w:rPr>
          <w:b/>
          <w:bCs/>
          <w:color w:val="000000"/>
        </w:rPr>
        <w:t xml:space="preserve"> </w:t>
      </w:r>
      <w:r w:rsidR="00E11ADF" w:rsidRPr="00E11ADF">
        <w:rPr>
          <w:color w:val="000000"/>
        </w:rPr>
        <w:t>goyms</w:t>
      </w:r>
      <w:r w:rsidR="00E11ADF">
        <w:rPr>
          <w:color w:val="000000"/>
        </w:rPr>
        <w:t>l</w:t>
      </w:r>
      <w:r w:rsidR="00E11ADF" w:rsidRPr="00E11ADF">
        <w:rPr>
          <w:color w:val="000000"/>
        </w:rPr>
        <w:t>u av lívrunnum tilfari, sum ein ábyrgdari, sum hevur latið biogassverki</w:t>
      </w:r>
      <w:r>
        <w:rPr>
          <w:color w:val="000000"/>
        </w:rPr>
        <w:t>num</w:t>
      </w:r>
      <w:r w:rsidR="00E11ADF" w:rsidRPr="00E11ADF">
        <w:rPr>
          <w:color w:val="000000"/>
        </w:rPr>
        <w:t xml:space="preserve"> tøð, fær aftur </w:t>
      </w:r>
      <w:r w:rsidR="00C70E28">
        <w:rPr>
          <w:color w:val="000000"/>
        </w:rPr>
        <w:t>frá</w:t>
      </w:r>
      <w:r w:rsidR="00E11ADF" w:rsidRPr="00E11ADF">
        <w:rPr>
          <w:color w:val="000000"/>
        </w:rPr>
        <w:t xml:space="preserve"> verkinum</w:t>
      </w:r>
      <w:r w:rsidR="00E11ADF">
        <w:rPr>
          <w:color w:val="000000"/>
        </w:rPr>
        <w:t xml:space="preserve">. </w:t>
      </w:r>
    </w:p>
    <w:p w14:paraId="44B95424" w14:textId="77777777" w:rsidR="009E508F" w:rsidRDefault="009E508F" w:rsidP="00B837D0">
      <w:pPr>
        <w:spacing w:after="0"/>
        <w:rPr>
          <w:rFonts w:cs="Times New Roman"/>
          <w:szCs w:val="24"/>
        </w:rPr>
      </w:pPr>
    </w:p>
    <w:p w14:paraId="099D6536" w14:textId="2D1C3964" w:rsidR="00081C11" w:rsidRDefault="009E508F" w:rsidP="009E508F">
      <w:pPr>
        <w:spacing w:after="0"/>
        <w:rPr>
          <w:rFonts w:cs="Times New Roman"/>
          <w:b/>
          <w:szCs w:val="24"/>
        </w:rPr>
      </w:pPr>
      <w:r>
        <w:rPr>
          <w:rFonts w:cs="Times New Roman"/>
          <w:b/>
          <w:szCs w:val="24"/>
        </w:rPr>
        <w:t xml:space="preserve">Freistin at lata inn ummæli er </w:t>
      </w:r>
      <w:r w:rsidR="00770747">
        <w:rPr>
          <w:rFonts w:cs="Times New Roman"/>
          <w:b/>
          <w:szCs w:val="24"/>
        </w:rPr>
        <w:t>fríggjadagin</w:t>
      </w:r>
      <w:r>
        <w:rPr>
          <w:rFonts w:cs="Times New Roman"/>
          <w:b/>
          <w:szCs w:val="24"/>
        </w:rPr>
        <w:t xml:space="preserve"> 2</w:t>
      </w:r>
      <w:r w:rsidR="00770747">
        <w:rPr>
          <w:rFonts w:cs="Times New Roman"/>
          <w:b/>
          <w:szCs w:val="24"/>
        </w:rPr>
        <w:t>6</w:t>
      </w:r>
      <w:r>
        <w:rPr>
          <w:rFonts w:cs="Times New Roman"/>
          <w:b/>
          <w:szCs w:val="24"/>
        </w:rPr>
        <w:t>. ju</w:t>
      </w:r>
      <w:r w:rsidR="00770747">
        <w:rPr>
          <w:rFonts w:cs="Times New Roman"/>
          <w:b/>
          <w:szCs w:val="24"/>
        </w:rPr>
        <w:t>l</w:t>
      </w:r>
      <w:r>
        <w:rPr>
          <w:rFonts w:cs="Times New Roman"/>
          <w:b/>
          <w:szCs w:val="24"/>
        </w:rPr>
        <w:t>i 202</w:t>
      </w:r>
      <w:r w:rsidR="00770747">
        <w:rPr>
          <w:rFonts w:cs="Times New Roman"/>
          <w:b/>
          <w:szCs w:val="24"/>
        </w:rPr>
        <w:t>4</w:t>
      </w:r>
      <w:r>
        <w:rPr>
          <w:rFonts w:cs="Times New Roman"/>
          <w:b/>
          <w:szCs w:val="24"/>
        </w:rPr>
        <w:t>.</w:t>
      </w:r>
    </w:p>
    <w:p w14:paraId="57DF41F4" w14:textId="77777777" w:rsidR="008B0685" w:rsidRDefault="008B0685" w:rsidP="008B0685">
      <w:pPr>
        <w:rPr>
          <w:rFonts w:cs="Times New Roman"/>
          <w:b/>
          <w:szCs w:val="24"/>
        </w:rPr>
      </w:pPr>
    </w:p>
    <w:p w14:paraId="211E967B" w14:textId="77777777" w:rsidR="008B0685" w:rsidRDefault="008B0685" w:rsidP="008B0685">
      <w:pPr>
        <w:rPr>
          <w:rFonts w:cs="Times New Roman"/>
          <w:b/>
          <w:szCs w:val="24"/>
        </w:rPr>
      </w:pPr>
    </w:p>
    <w:p w14:paraId="157D8791" w14:textId="0BC68D63" w:rsidR="008B0685" w:rsidRPr="008B0685" w:rsidRDefault="008B0685" w:rsidP="008B0685">
      <w:pPr>
        <w:tabs>
          <w:tab w:val="left" w:pos="5940"/>
        </w:tabs>
        <w:rPr>
          <w:rFonts w:cs="Times New Roman"/>
          <w:szCs w:val="24"/>
        </w:rPr>
      </w:pPr>
      <w:r>
        <w:rPr>
          <w:rFonts w:cs="Times New Roman"/>
          <w:szCs w:val="24"/>
        </w:rPr>
        <w:tab/>
      </w:r>
    </w:p>
    <w:sectPr w:rsidR="008B0685" w:rsidRPr="008B0685" w:rsidSect="00DA1D4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D0"/>
    <w:rsid w:val="00077808"/>
    <w:rsid w:val="00081C11"/>
    <w:rsid w:val="000F559D"/>
    <w:rsid w:val="00190461"/>
    <w:rsid w:val="002173D7"/>
    <w:rsid w:val="00242C1D"/>
    <w:rsid w:val="004B779C"/>
    <w:rsid w:val="00576B49"/>
    <w:rsid w:val="005B78CD"/>
    <w:rsid w:val="00666543"/>
    <w:rsid w:val="00770747"/>
    <w:rsid w:val="00837D44"/>
    <w:rsid w:val="008B0685"/>
    <w:rsid w:val="0093446D"/>
    <w:rsid w:val="00953FDA"/>
    <w:rsid w:val="00955227"/>
    <w:rsid w:val="009B0E21"/>
    <w:rsid w:val="009E508F"/>
    <w:rsid w:val="00A55485"/>
    <w:rsid w:val="00A903C8"/>
    <w:rsid w:val="00A962CF"/>
    <w:rsid w:val="00AA0CF9"/>
    <w:rsid w:val="00AF253B"/>
    <w:rsid w:val="00AF589B"/>
    <w:rsid w:val="00B27298"/>
    <w:rsid w:val="00B837D0"/>
    <w:rsid w:val="00C23390"/>
    <w:rsid w:val="00C70E28"/>
    <w:rsid w:val="00CD3FDB"/>
    <w:rsid w:val="00D34A78"/>
    <w:rsid w:val="00DA1D46"/>
    <w:rsid w:val="00DF59E1"/>
    <w:rsid w:val="00E11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A36C9"/>
  <w15:docId w15:val="{1C56FEA5-DE21-47D8-9ED2-0BEE790A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21"/>
    <w:pPr>
      <w:spacing w:line="240" w:lineRule="auto"/>
    </w:pPr>
    <w:rPr>
      <w:lang w:val="fo-F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cs="Times New Roman"/>
      <w:szCs w:val="24"/>
      <w:lang w:val="da-DK"/>
    </w:rPr>
  </w:style>
  <w:style w:type="paragraph" w:customStyle="1" w:styleId="Stk">
    <w:name w:val="Stk"/>
    <w:basedOn w:val="Normal"/>
    <w:rsid w:val="00AF589B"/>
    <w:pPr>
      <w:spacing w:after="0"/>
      <w:ind w:firstLine="170"/>
    </w:pPr>
    <w:rPr>
      <w:rFonts w:eastAsia="Times New Roman" w:cs="Times New Roman"/>
      <w:szCs w:val="24"/>
      <w:lang w:val="da-DK"/>
    </w:rPr>
  </w:style>
  <w:style w:type="paragraph" w:customStyle="1" w:styleId="Paragraftekst">
    <w:name w:val="Paragraftekst"/>
    <w:basedOn w:val="Normal"/>
    <w:next w:val="Normal"/>
    <w:rsid w:val="00AF589B"/>
    <w:pPr>
      <w:spacing w:before="240" w:after="0"/>
      <w:ind w:firstLine="170"/>
    </w:pPr>
    <w:rPr>
      <w:rFonts w:eastAsia="Times New Roman" w:cs="Times New Roman"/>
      <w:szCs w:val="24"/>
    </w:rPr>
  </w:style>
  <w:style w:type="character" w:customStyle="1" w:styleId="TypografiFed">
    <w:name w:val="Typografi Fed"/>
    <w:basedOn w:val="Standardskrifttypeiafsnit"/>
    <w:rsid w:val="009B0E21"/>
    <w:rPr>
      <w:rFonts w:ascii="Times New Roman" w:hAnsi="Times New Roman" w:cs="Times New Roman" w:hint="default"/>
      <w:b/>
      <w:bCs/>
      <w:sz w:val="24"/>
    </w:rPr>
  </w:style>
  <w:style w:type="table" w:styleId="Tabel-Gitter">
    <w:name w:val="Table Grid"/>
    <w:basedOn w:val="Tabel-Normal"/>
    <w:uiPriority w:val="59"/>
    <w:rsid w:val="009B0E21"/>
    <w:pPr>
      <w:spacing w:after="0" w:line="240" w:lineRule="auto"/>
    </w:pPr>
    <w:rPr>
      <w:rFonts w:asciiTheme="minorHAnsi" w:hAnsiTheme="minorHAnsi"/>
      <w:sz w:val="22"/>
      <w:lang w:val="fo-F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82708">
      <w:bodyDiv w:val="1"/>
      <w:marLeft w:val="0"/>
      <w:marRight w:val="0"/>
      <w:marTop w:val="0"/>
      <w:marBottom w:val="0"/>
      <w:divBdr>
        <w:top w:val="none" w:sz="0" w:space="0" w:color="auto"/>
        <w:left w:val="none" w:sz="0" w:space="0" w:color="auto"/>
        <w:bottom w:val="none" w:sz="0" w:space="0" w:color="auto"/>
        <w:right w:val="none" w:sz="0" w:space="0" w:color="auto"/>
      </w:divBdr>
    </w:div>
    <w:div w:id="1072391723">
      <w:bodyDiv w:val="1"/>
      <w:marLeft w:val="0"/>
      <w:marRight w:val="0"/>
      <w:marTop w:val="0"/>
      <w:marBottom w:val="0"/>
      <w:divBdr>
        <w:top w:val="none" w:sz="0" w:space="0" w:color="auto"/>
        <w:left w:val="none" w:sz="0" w:space="0" w:color="auto"/>
        <w:bottom w:val="none" w:sz="0" w:space="0" w:color="auto"/>
        <w:right w:val="none" w:sz="0" w:space="0" w:color="auto"/>
      </w:divBdr>
    </w:div>
    <w:div w:id="168736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78289\Downloads\uppskot-til-rundskriv.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uppskot-til-rundskriv</Template>
  <TotalTime>261</TotalTime>
  <Pages>2</Pages>
  <Words>626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Uppskot til rundskriv</vt:lpstr>
    </vt:vector>
  </TitlesOfParts>
  <Company>Lógartænastan</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rundskriv</dc:title>
  <dc:subject>Uppskot til rundskriv</dc:subject>
  <dc:creator>Pætur á Borg</dc:creator>
  <cp:keywords>5. útgáva, desember 2020</cp:keywords>
  <dc:description/>
  <cp:lastModifiedBy>Pætur á Borg</cp:lastModifiedBy>
  <cp:revision>11</cp:revision>
  <cp:lastPrinted>2024-06-24T13:46:00Z</cp:lastPrinted>
  <dcterms:created xsi:type="dcterms:W3CDTF">2024-06-25T09:40:00Z</dcterms:created>
  <dcterms:modified xsi:type="dcterms:W3CDTF">2024-06-26T14:02:00Z</dcterms:modified>
</cp:coreProperties>
</file>