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AD6" w14:textId="4EED9D1C" w:rsidR="00BF46D7" w:rsidRPr="00BF46D7" w:rsidRDefault="006021BE" w:rsidP="00B05B61">
      <w:pPr>
        <w:spacing w:after="0" w:line="240" w:lineRule="auto"/>
        <w:jc w:val="center"/>
        <w:rPr>
          <w:b/>
          <w:sz w:val="32"/>
          <w:szCs w:val="32"/>
          <w:lang w:val="fo-FO"/>
        </w:rPr>
      </w:pPr>
      <w:r>
        <w:rPr>
          <w:noProof/>
          <w:lang w:val="fo-FO" w:eastAsia="fo-FO"/>
        </w:rPr>
        <w:drawing>
          <wp:anchor distT="0" distB="0" distL="114300" distR="114300" simplePos="0" relativeHeight="251658240" behindDoc="0" locked="0" layoutInCell="1" allowOverlap="1" wp14:anchorId="1CCE96AA" wp14:editId="3C76ADA2">
            <wp:simplePos x="0" y="0"/>
            <wp:positionH relativeFrom="column">
              <wp:posOffset>2600325</wp:posOffset>
            </wp:positionH>
            <wp:positionV relativeFrom="paragraph">
              <wp:posOffset>0</wp:posOffset>
            </wp:positionV>
            <wp:extent cx="619125" cy="660400"/>
            <wp:effectExtent l="0" t="0" r="0" b="0"/>
            <wp:wrapTopAndBottom/>
            <wp:docPr id="7"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51C">
        <w:rPr>
          <w:b/>
          <w:sz w:val="32"/>
          <w:szCs w:val="32"/>
          <w:lang w:val="fo-FO"/>
        </w:rPr>
        <w:t xml:space="preserve">Løgmálaráðið </w:t>
      </w:r>
    </w:p>
    <w:p w14:paraId="1AB20606" w14:textId="77777777" w:rsidR="00BF46D7" w:rsidRPr="00B05B61" w:rsidRDefault="00BF46D7" w:rsidP="00B05B61">
      <w:pPr>
        <w:spacing w:after="0" w:line="240" w:lineRule="auto"/>
        <w:rPr>
          <w:b/>
          <w:bCs/>
          <w:lang w:val="fo-FO"/>
        </w:rPr>
      </w:pPr>
    </w:p>
    <w:p w14:paraId="3A9DC316" w14:textId="77777777" w:rsidR="00BF46D7" w:rsidRPr="00B05B61" w:rsidRDefault="00BF46D7" w:rsidP="00B05B61">
      <w:pPr>
        <w:spacing w:after="0" w:line="240" w:lineRule="auto"/>
        <w:rPr>
          <w:bCs/>
          <w:lang w:val="fo-FO"/>
        </w:rPr>
      </w:pPr>
    </w:p>
    <w:tbl>
      <w:tblPr>
        <w:tblW w:w="0" w:type="auto"/>
        <w:jc w:val="right"/>
        <w:tblLook w:val="04A0" w:firstRow="1" w:lastRow="0" w:firstColumn="1" w:lastColumn="0" w:noHBand="0" w:noVBand="1"/>
      </w:tblPr>
      <w:tblGrid>
        <w:gridCol w:w="1523"/>
        <w:gridCol w:w="1629"/>
      </w:tblGrid>
      <w:tr w:rsidR="003316E9" w:rsidRPr="00B05B61" w14:paraId="65864583" w14:textId="77777777" w:rsidTr="00B05B61">
        <w:trPr>
          <w:trHeight w:val="333"/>
          <w:jc w:val="right"/>
        </w:trPr>
        <w:tc>
          <w:tcPr>
            <w:tcW w:w="0" w:type="auto"/>
            <w:hideMark/>
          </w:tcPr>
          <w:p w14:paraId="5151F197" w14:textId="77777777" w:rsidR="003316E9" w:rsidRPr="00B05B61" w:rsidRDefault="003316E9" w:rsidP="00B05B61">
            <w:pPr>
              <w:spacing w:after="0" w:line="240" w:lineRule="auto"/>
              <w:rPr>
                <w:szCs w:val="24"/>
                <w:lang w:val="fo-FO" w:eastAsia="fo-FO"/>
              </w:rPr>
            </w:pPr>
            <w:r w:rsidRPr="00B05B61">
              <w:t>Dagfesting:</w:t>
            </w:r>
            <w:r w:rsidRPr="00B05B61">
              <w:rPr>
                <w:noProof/>
              </w:rPr>
              <w:t xml:space="preserve"> </w:t>
            </w:r>
          </w:p>
        </w:tc>
        <w:tc>
          <w:tcPr>
            <w:tcW w:w="0" w:type="auto"/>
            <w:hideMark/>
          </w:tcPr>
          <w:p w14:paraId="4FAE1C73" w14:textId="1655E98B" w:rsidR="003316E9" w:rsidRPr="00B05B61" w:rsidRDefault="00412EC6" w:rsidP="00B05B61">
            <w:pPr>
              <w:tabs>
                <w:tab w:val="center" w:pos="4513"/>
                <w:tab w:val="right" w:pos="9026"/>
              </w:tabs>
              <w:spacing w:after="0" w:line="240" w:lineRule="auto"/>
            </w:pPr>
            <w:r>
              <w:t>0</w:t>
            </w:r>
            <w:r w:rsidR="00EF15A8">
              <w:t>9</w:t>
            </w:r>
            <w:r>
              <w:t>.01.2024</w:t>
            </w:r>
          </w:p>
        </w:tc>
      </w:tr>
      <w:tr w:rsidR="003316E9" w:rsidRPr="00B05B61" w14:paraId="5DCA3E4E" w14:textId="77777777" w:rsidTr="00B05B61">
        <w:trPr>
          <w:trHeight w:val="361"/>
          <w:jc w:val="right"/>
        </w:trPr>
        <w:tc>
          <w:tcPr>
            <w:tcW w:w="0" w:type="auto"/>
            <w:hideMark/>
          </w:tcPr>
          <w:p w14:paraId="6B259558" w14:textId="77777777" w:rsidR="003316E9" w:rsidRPr="00B05B61" w:rsidRDefault="003316E9" w:rsidP="00B05B61">
            <w:pPr>
              <w:spacing w:after="0" w:line="240" w:lineRule="auto"/>
            </w:pPr>
            <w:r w:rsidRPr="00B05B61">
              <w:t>Mál nr.:</w:t>
            </w:r>
          </w:p>
        </w:tc>
        <w:tc>
          <w:tcPr>
            <w:tcW w:w="0" w:type="auto"/>
            <w:hideMark/>
          </w:tcPr>
          <w:p w14:paraId="1BDF3A3F" w14:textId="127FDAF6" w:rsidR="003316E9" w:rsidRPr="00B05B61" w:rsidRDefault="00412EC6" w:rsidP="00B05B61">
            <w:pPr>
              <w:tabs>
                <w:tab w:val="center" w:pos="4513"/>
                <w:tab w:val="right" w:pos="9026"/>
              </w:tabs>
              <w:spacing w:after="0" w:line="240" w:lineRule="auto"/>
            </w:pPr>
            <w:r>
              <w:t>23/24328</w:t>
            </w:r>
          </w:p>
        </w:tc>
      </w:tr>
      <w:tr w:rsidR="003316E9" w:rsidRPr="00B05B61" w14:paraId="2DD928E9" w14:textId="77777777" w:rsidTr="00B05B61">
        <w:trPr>
          <w:trHeight w:val="344"/>
          <w:jc w:val="right"/>
        </w:trPr>
        <w:tc>
          <w:tcPr>
            <w:tcW w:w="0" w:type="auto"/>
            <w:hideMark/>
          </w:tcPr>
          <w:p w14:paraId="32C511C0" w14:textId="77777777" w:rsidR="003316E9" w:rsidRPr="00B05B61" w:rsidRDefault="003316E9" w:rsidP="00B05B61">
            <w:pPr>
              <w:spacing w:after="0" w:line="240" w:lineRule="auto"/>
            </w:pPr>
            <w:r w:rsidRPr="00B05B61">
              <w:t>Málsviðgjørt:</w:t>
            </w:r>
          </w:p>
        </w:tc>
        <w:tc>
          <w:tcPr>
            <w:tcW w:w="0" w:type="auto"/>
            <w:hideMark/>
          </w:tcPr>
          <w:p w14:paraId="4D46BD4E" w14:textId="4D225793" w:rsidR="003316E9" w:rsidRPr="00B05B61" w:rsidRDefault="00412EC6" w:rsidP="00B05B61">
            <w:pPr>
              <w:tabs>
                <w:tab w:val="center" w:pos="4513"/>
                <w:tab w:val="right" w:pos="9026"/>
              </w:tabs>
              <w:spacing w:after="0" w:line="240" w:lineRule="auto"/>
            </w:pPr>
            <w:r>
              <w:t>EA</w:t>
            </w:r>
          </w:p>
        </w:tc>
      </w:tr>
      <w:tr w:rsidR="003316E9" w:rsidRPr="00B05B61" w14:paraId="1A4AEFE3" w14:textId="77777777" w:rsidTr="00B05B61">
        <w:trPr>
          <w:trHeight w:val="455"/>
          <w:jc w:val="right"/>
        </w:trPr>
        <w:tc>
          <w:tcPr>
            <w:tcW w:w="0" w:type="auto"/>
            <w:hideMark/>
          </w:tcPr>
          <w:p w14:paraId="7F0348BC" w14:textId="77777777" w:rsidR="003316E9" w:rsidRPr="00B05B61" w:rsidRDefault="003316E9" w:rsidP="00B05B61">
            <w:pPr>
              <w:spacing w:after="0" w:line="240" w:lineRule="auto"/>
            </w:pPr>
            <w:r w:rsidRPr="00B05B61">
              <w:t>Eftirkannað:</w:t>
            </w:r>
          </w:p>
        </w:tc>
        <w:tc>
          <w:tcPr>
            <w:tcW w:w="0" w:type="auto"/>
            <w:hideMark/>
          </w:tcPr>
          <w:p w14:paraId="3C0A4930" w14:textId="77777777" w:rsidR="003316E9" w:rsidRDefault="003316E9" w:rsidP="00B05B61">
            <w:pPr>
              <w:tabs>
                <w:tab w:val="center" w:pos="4513"/>
                <w:tab w:val="right" w:pos="9026"/>
              </w:tabs>
              <w:spacing w:after="0" w:line="240" w:lineRule="auto"/>
            </w:pPr>
            <w:r w:rsidRPr="00B05B61">
              <w:t>Lógartænastan</w:t>
            </w:r>
          </w:p>
          <w:p w14:paraId="71A677B3" w14:textId="77777777" w:rsidR="003316E9" w:rsidRPr="00B05B61" w:rsidRDefault="003316E9" w:rsidP="00B05B61">
            <w:pPr>
              <w:tabs>
                <w:tab w:val="center" w:pos="4513"/>
                <w:tab w:val="right" w:pos="9026"/>
              </w:tabs>
              <w:spacing w:after="0" w:line="240" w:lineRule="auto"/>
            </w:pPr>
            <w:r w:rsidRPr="00B05B61">
              <w:t xml:space="preserve">dagfestir </w:t>
            </w:r>
          </w:p>
        </w:tc>
      </w:tr>
    </w:tbl>
    <w:p w14:paraId="47E193A2" w14:textId="77777777" w:rsidR="00B05B61" w:rsidRPr="00B05B61" w:rsidRDefault="00B05B61" w:rsidP="00B05B61">
      <w:pPr>
        <w:spacing w:after="0" w:line="240" w:lineRule="auto"/>
        <w:rPr>
          <w:bCs/>
          <w:lang w:val="fo-FO"/>
        </w:rPr>
      </w:pPr>
    </w:p>
    <w:p w14:paraId="33E98239" w14:textId="77777777" w:rsidR="00B05B61" w:rsidRPr="00B05B61" w:rsidRDefault="00B05B61" w:rsidP="00B05B61">
      <w:pPr>
        <w:spacing w:after="0" w:line="240" w:lineRule="auto"/>
        <w:rPr>
          <w:bCs/>
          <w:lang w:val="fo-FO"/>
        </w:rPr>
      </w:pPr>
    </w:p>
    <w:p w14:paraId="415891D4" w14:textId="77777777" w:rsidR="00BF46D7" w:rsidRDefault="00BF46D7" w:rsidP="00B05B61">
      <w:pPr>
        <w:spacing w:after="0" w:line="240" w:lineRule="auto"/>
        <w:rPr>
          <w:bCs/>
          <w:lang w:val="fo-FO"/>
        </w:rPr>
      </w:pPr>
    </w:p>
    <w:p w14:paraId="5E2AD2BA" w14:textId="77777777" w:rsidR="003D2E24" w:rsidRDefault="003D2E24" w:rsidP="00B05B61">
      <w:pPr>
        <w:spacing w:after="0" w:line="240" w:lineRule="auto"/>
        <w:rPr>
          <w:bCs/>
          <w:lang w:val="fo-FO"/>
        </w:rPr>
      </w:pPr>
    </w:p>
    <w:p w14:paraId="407C5401" w14:textId="77777777" w:rsidR="003D2E24" w:rsidRPr="00B05B61" w:rsidRDefault="003D2E24" w:rsidP="00B05B61">
      <w:pPr>
        <w:spacing w:after="0" w:line="240" w:lineRule="auto"/>
        <w:rPr>
          <w:bCs/>
          <w:lang w:val="fo-FO"/>
        </w:rPr>
      </w:pPr>
    </w:p>
    <w:p w14:paraId="7DDF4B40" w14:textId="77777777" w:rsidR="00BF46D7" w:rsidRPr="00B05B61" w:rsidRDefault="00BF46D7" w:rsidP="00B05B61">
      <w:pPr>
        <w:spacing w:after="0" w:line="240" w:lineRule="auto"/>
        <w:rPr>
          <w:bCs/>
          <w:lang w:val="fo-FO"/>
        </w:rPr>
      </w:pPr>
    </w:p>
    <w:p w14:paraId="7A56E343" w14:textId="77777777" w:rsidR="00BF46D7" w:rsidRPr="00BF46D7" w:rsidRDefault="00BF46D7" w:rsidP="00B05B61">
      <w:pPr>
        <w:spacing w:after="0" w:line="240" w:lineRule="auto"/>
        <w:jc w:val="center"/>
        <w:rPr>
          <w:b/>
          <w:szCs w:val="24"/>
          <w:lang w:val="fo-FO"/>
        </w:rPr>
      </w:pPr>
      <w:r w:rsidRPr="00BF46D7">
        <w:rPr>
          <w:b/>
          <w:szCs w:val="24"/>
          <w:lang w:val="fo-FO"/>
        </w:rPr>
        <w:t>Uppskot til</w:t>
      </w:r>
    </w:p>
    <w:p w14:paraId="72597BD8" w14:textId="77777777" w:rsidR="00BF46D7" w:rsidRPr="00BF46D7" w:rsidRDefault="00BF46D7" w:rsidP="00B05B61">
      <w:pPr>
        <w:spacing w:after="0" w:line="240" w:lineRule="auto"/>
        <w:jc w:val="center"/>
        <w:rPr>
          <w:b/>
          <w:szCs w:val="24"/>
          <w:lang w:val="fo-FO"/>
        </w:rPr>
      </w:pPr>
    </w:p>
    <w:p w14:paraId="6DF10D12" w14:textId="77777777" w:rsidR="00BF46D7" w:rsidRPr="00BF46D7" w:rsidRDefault="00BF46D7" w:rsidP="00B05B61">
      <w:pPr>
        <w:spacing w:after="0" w:line="240" w:lineRule="auto"/>
        <w:jc w:val="center"/>
        <w:rPr>
          <w:b/>
          <w:szCs w:val="24"/>
          <w:lang w:val="fo-FO"/>
        </w:rPr>
      </w:pPr>
      <w:r w:rsidRPr="00BF46D7">
        <w:rPr>
          <w:b/>
          <w:szCs w:val="24"/>
          <w:lang w:val="fo-FO"/>
        </w:rPr>
        <w:t>Ríkislógartilmæli um at seta í gildi fyri Føroyar</w:t>
      </w:r>
    </w:p>
    <w:p w14:paraId="538F5244" w14:textId="77777777" w:rsidR="00BF46D7" w:rsidRPr="00BF46D7" w:rsidRDefault="00BF46D7" w:rsidP="00B05B61">
      <w:pPr>
        <w:spacing w:after="0" w:line="240" w:lineRule="auto"/>
        <w:jc w:val="center"/>
        <w:rPr>
          <w:b/>
          <w:szCs w:val="24"/>
          <w:lang w:val="fo-FO"/>
        </w:rPr>
      </w:pPr>
    </w:p>
    <w:p w14:paraId="4A0CD865" w14:textId="77777777" w:rsidR="00D91F2D" w:rsidRDefault="00BF46D7" w:rsidP="00B05B61">
      <w:pPr>
        <w:spacing w:after="0" w:line="240" w:lineRule="auto"/>
        <w:jc w:val="center"/>
        <w:rPr>
          <w:b/>
          <w:szCs w:val="24"/>
          <w:lang w:val="fo-FO"/>
        </w:rPr>
      </w:pPr>
      <w:r w:rsidRPr="00BF46D7">
        <w:rPr>
          <w:b/>
          <w:szCs w:val="24"/>
          <w:lang w:val="fo-FO"/>
        </w:rPr>
        <w:t>Anordning om</w:t>
      </w:r>
      <w:r w:rsidR="00412EC6">
        <w:rPr>
          <w:b/>
          <w:szCs w:val="24"/>
          <w:lang w:val="fo-FO"/>
        </w:rPr>
        <w:t xml:space="preserve"> </w:t>
      </w:r>
      <w:r w:rsidR="00412EC6" w:rsidRPr="00412EC6">
        <w:rPr>
          <w:b/>
          <w:szCs w:val="24"/>
          <w:lang w:val="fo-FO"/>
        </w:rPr>
        <w:t>ændring af anordning om ikrafttræden for Færøerne af lov om midlertidig opholdstilladelse til personer, der er fordrevet fra Ukraine</w:t>
      </w:r>
    </w:p>
    <w:p w14:paraId="06C7C489" w14:textId="00C0541A" w:rsidR="00412EC6" w:rsidRDefault="00D91F2D" w:rsidP="00B05B61">
      <w:pPr>
        <w:spacing w:after="0" w:line="240" w:lineRule="auto"/>
        <w:jc w:val="center"/>
        <w:rPr>
          <w:b/>
          <w:szCs w:val="24"/>
          <w:lang w:val="fo-FO"/>
        </w:rPr>
      </w:pPr>
      <w:r w:rsidRPr="00D91F2D">
        <w:rPr>
          <w:bCs/>
          <w:szCs w:val="24"/>
          <w:lang w:val="fo-FO"/>
        </w:rPr>
        <w:t>(Ændring af kvoten for opholdstilladelser, der kan gives efter loven</w:t>
      </w:r>
      <w:r w:rsidRPr="00D91F2D">
        <w:rPr>
          <w:b/>
          <w:szCs w:val="24"/>
          <w:lang w:val="fo-FO"/>
        </w:rPr>
        <w:t>)</w:t>
      </w:r>
      <w:r w:rsidR="00BF46D7" w:rsidRPr="00BF46D7">
        <w:rPr>
          <w:b/>
          <w:szCs w:val="24"/>
          <w:lang w:val="fo-FO"/>
        </w:rPr>
        <w:t xml:space="preserve"> </w:t>
      </w:r>
    </w:p>
    <w:p w14:paraId="00D8E29F" w14:textId="77777777" w:rsidR="00D91F2D" w:rsidRDefault="00D91F2D" w:rsidP="00D91F2D">
      <w:pPr>
        <w:spacing w:after="0" w:line="240" w:lineRule="auto"/>
        <w:rPr>
          <w:b/>
          <w:szCs w:val="24"/>
          <w:lang w:val="fo-FO"/>
        </w:rPr>
      </w:pPr>
    </w:p>
    <w:p w14:paraId="773BA818" w14:textId="77777777" w:rsidR="00BF46D7" w:rsidRPr="00BF46D7" w:rsidRDefault="00BF46D7" w:rsidP="00B05B61">
      <w:pPr>
        <w:spacing w:after="0" w:line="240" w:lineRule="auto"/>
        <w:jc w:val="center"/>
        <w:rPr>
          <w:szCs w:val="24"/>
          <w:lang w:val="fo-FO"/>
        </w:rPr>
      </w:pPr>
    </w:p>
    <w:p w14:paraId="46ACAB43" w14:textId="3D1985E8" w:rsidR="00BF46D7" w:rsidRPr="00BF46D7" w:rsidRDefault="00BF46D7" w:rsidP="00B05B61">
      <w:pPr>
        <w:spacing w:after="0" w:line="240" w:lineRule="auto"/>
        <w:rPr>
          <w:szCs w:val="24"/>
          <w:lang w:val="fo-FO"/>
        </w:rPr>
      </w:pPr>
      <w:r w:rsidRPr="00BF46D7">
        <w:rPr>
          <w:szCs w:val="24"/>
          <w:lang w:val="fo-FO"/>
        </w:rPr>
        <w:t xml:space="preserve">Mælt verður ríkismyndugleikunum til at seta í gildi </w:t>
      </w:r>
      <w:r w:rsidR="00FF5A24">
        <w:rPr>
          <w:szCs w:val="24"/>
          <w:lang w:val="fo-FO"/>
        </w:rPr>
        <w:t xml:space="preserve">fyri Føroyar niðanfyristandandi </w:t>
      </w:r>
      <w:r w:rsidR="00D77F74">
        <w:rPr>
          <w:szCs w:val="24"/>
          <w:lang w:val="fo-FO"/>
        </w:rPr>
        <w:t>uppskot um</w:t>
      </w:r>
      <w:r w:rsidRPr="00BF46D7">
        <w:rPr>
          <w:szCs w:val="24"/>
          <w:lang w:val="fo-FO"/>
        </w:rPr>
        <w:t xml:space="preserve"> </w:t>
      </w:r>
      <w:r w:rsidR="0033078C">
        <w:rPr>
          <w:szCs w:val="24"/>
          <w:lang w:val="fo-FO"/>
        </w:rPr>
        <w:t>a</w:t>
      </w:r>
      <w:r w:rsidR="00D77F74">
        <w:rPr>
          <w:szCs w:val="24"/>
          <w:lang w:val="fo-FO"/>
        </w:rPr>
        <w:t xml:space="preserve">nordning om </w:t>
      </w:r>
      <w:r w:rsidR="00412EC6" w:rsidRPr="00412EC6">
        <w:rPr>
          <w:szCs w:val="24"/>
          <w:lang w:val="fo-FO"/>
        </w:rPr>
        <w:t>ændring af anordning om ikrafttræden for Færøerne af lov om midlertidig opholdstilladelse til personer, der er fordrevet fra Ukraine</w:t>
      </w:r>
      <w:r w:rsidR="0033078C" w:rsidRPr="0033078C">
        <w:t xml:space="preserve"> </w:t>
      </w:r>
      <w:r w:rsidR="0033078C" w:rsidRPr="0033078C">
        <w:rPr>
          <w:szCs w:val="24"/>
          <w:lang w:val="fo-FO"/>
        </w:rPr>
        <w:t>(</w:t>
      </w:r>
      <w:r w:rsidR="000E723C">
        <w:rPr>
          <w:szCs w:val="24"/>
          <w:lang w:val="fo-FO"/>
        </w:rPr>
        <w:t>æ</w:t>
      </w:r>
      <w:r w:rsidR="0033078C" w:rsidRPr="0033078C">
        <w:rPr>
          <w:szCs w:val="24"/>
          <w:lang w:val="fo-FO"/>
        </w:rPr>
        <w:t>ndring af kvoten for opholdstilladelser, der kan gives efter loven)</w:t>
      </w:r>
      <w:r w:rsidR="0033078C">
        <w:rPr>
          <w:szCs w:val="24"/>
          <w:lang w:val="fo-FO"/>
        </w:rPr>
        <w:t>.</w:t>
      </w:r>
    </w:p>
    <w:p w14:paraId="6932FDA2" w14:textId="77777777" w:rsidR="00BF46D7" w:rsidRPr="00BF46D7" w:rsidRDefault="00BF46D7" w:rsidP="00B05B61">
      <w:pPr>
        <w:spacing w:after="0" w:line="240" w:lineRule="auto"/>
        <w:rPr>
          <w:szCs w:val="24"/>
          <w:lang w:val="fo-FO"/>
        </w:rPr>
      </w:pPr>
    </w:p>
    <w:p w14:paraId="643916F3" w14:textId="77777777" w:rsidR="00BF46D7" w:rsidRDefault="00BF46D7" w:rsidP="00B05B61">
      <w:pPr>
        <w:spacing w:after="0" w:line="240" w:lineRule="auto"/>
        <w:jc w:val="center"/>
        <w:rPr>
          <w:b/>
          <w:szCs w:val="24"/>
          <w:lang w:val="fo-FO"/>
        </w:rPr>
      </w:pPr>
    </w:p>
    <w:p w14:paraId="79E06419" w14:textId="77777777" w:rsidR="0033078C" w:rsidRPr="00BF46D7" w:rsidRDefault="0033078C" w:rsidP="00B05B61">
      <w:pPr>
        <w:spacing w:after="0" w:line="240" w:lineRule="auto"/>
        <w:jc w:val="center"/>
        <w:rPr>
          <w:b/>
          <w:szCs w:val="24"/>
          <w:lang w:val="fo-FO"/>
        </w:rPr>
      </w:pPr>
    </w:p>
    <w:p w14:paraId="7D326614" w14:textId="77777777" w:rsidR="00BF46D7" w:rsidRPr="00D91F2D" w:rsidRDefault="00BF46D7" w:rsidP="00B05B61">
      <w:pPr>
        <w:spacing w:after="0" w:line="240" w:lineRule="auto"/>
        <w:jc w:val="center"/>
        <w:rPr>
          <w:b/>
          <w:szCs w:val="24"/>
          <w:lang w:val="fo-FO"/>
        </w:rPr>
      </w:pPr>
      <w:r w:rsidRPr="00D91F2D">
        <w:rPr>
          <w:b/>
          <w:szCs w:val="24"/>
          <w:lang w:val="fo-FO"/>
        </w:rPr>
        <w:t>Forslag til</w:t>
      </w:r>
    </w:p>
    <w:p w14:paraId="11830C7F" w14:textId="77777777" w:rsidR="00BF46D7" w:rsidRPr="00D91F2D" w:rsidRDefault="00BF46D7" w:rsidP="00B05B61">
      <w:pPr>
        <w:spacing w:after="0" w:line="240" w:lineRule="auto"/>
        <w:jc w:val="center"/>
        <w:rPr>
          <w:b/>
          <w:szCs w:val="24"/>
          <w:lang w:val="fo-FO"/>
        </w:rPr>
      </w:pPr>
    </w:p>
    <w:p w14:paraId="5D3D7C45" w14:textId="77777777" w:rsidR="00EF15A8" w:rsidRPr="001E79A2" w:rsidRDefault="00EF15A8" w:rsidP="00EF15A8">
      <w:pPr>
        <w:pStyle w:val="Ingenafstand"/>
        <w:jc w:val="center"/>
        <w:rPr>
          <w:b/>
          <w:sz w:val="24"/>
          <w:szCs w:val="24"/>
        </w:rPr>
      </w:pPr>
      <w:r w:rsidRPr="001E79A2">
        <w:rPr>
          <w:b/>
          <w:sz w:val="24"/>
          <w:szCs w:val="24"/>
        </w:rPr>
        <w:t>Anordning om ændring af anordning om ikrafttræden for Færøerne af lov om midlertidig opholdstilladelse til personer, der er fordrevet fra Ukraine</w:t>
      </w:r>
    </w:p>
    <w:p w14:paraId="1AD53E08" w14:textId="77777777" w:rsidR="00EF15A8" w:rsidRPr="001E79A2" w:rsidRDefault="00EF15A8" w:rsidP="00EF15A8">
      <w:pPr>
        <w:pStyle w:val="Ingenafstand"/>
        <w:jc w:val="center"/>
        <w:rPr>
          <w:sz w:val="24"/>
          <w:szCs w:val="24"/>
        </w:rPr>
      </w:pPr>
      <w:r w:rsidRPr="001E79A2">
        <w:rPr>
          <w:sz w:val="24"/>
          <w:szCs w:val="24"/>
        </w:rPr>
        <w:t>(Ændring af kvoten for opholdstilladelser, der kan gives efter loven)</w:t>
      </w:r>
    </w:p>
    <w:p w14:paraId="01B98004" w14:textId="77777777" w:rsidR="00EF15A8" w:rsidRPr="001E79A2" w:rsidRDefault="00EF15A8" w:rsidP="00EF15A8">
      <w:pPr>
        <w:pStyle w:val="Ingenafstand"/>
        <w:jc w:val="center"/>
        <w:rPr>
          <w:sz w:val="24"/>
          <w:szCs w:val="24"/>
        </w:rPr>
      </w:pPr>
    </w:p>
    <w:p w14:paraId="4470DB64" w14:textId="77777777" w:rsidR="00EF15A8" w:rsidRPr="001E79A2" w:rsidRDefault="00EF15A8" w:rsidP="00EF15A8">
      <w:pPr>
        <w:pStyle w:val="Ingenafstand"/>
        <w:jc w:val="center"/>
        <w:rPr>
          <w:rFonts w:ascii="Times New Roman" w:hAnsi="Times New Roman" w:cs="Times New Roman"/>
          <w:sz w:val="24"/>
          <w:szCs w:val="24"/>
        </w:rPr>
      </w:pPr>
      <w:r w:rsidRPr="001E79A2">
        <w:rPr>
          <w:rFonts w:ascii="Times New Roman" w:hAnsi="Times New Roman" w:cs="Times New Roman"/>
          <w:sz w:val="24"/>
          <w:szCs w:val="24"/>
        </w:rPr>
        <w:t>VI MARGRETHE DEN ANDEN, af Guds Nåde Danmarks Dronning, gør vitterligt:</w:t>
      </w:r>
    </w:p>
    <w:p w14:paraId="389D5F2D" w14:textId="77777777" w:rsidR="00EF15A8" w:rsidRPr="001E79A2" w:rsidRDefault="00EF15A8" w:rsidP="00EF15A8">
      <w:pPr>
        <w:pStyle w:val="Ingenafstand"/>
        <w:rPr>
          <w:sz w:val="24"/>
          <w:szCs w:val="24"/>
        </w:rPr>
      </w:pPr>
    </w:p>
    <w:p w14:paraId="085915A5" w14:textId="77777777" w:rsidR="00EF15A8" w:rsidRPr="001E79A2" w:rsidRDefault="00EF15A8" w:rsidP="00EF15A8">
      <w:pPr>
        <w:jc w:val="both"/>
        <w:rPr>
          <w:szCs w:val="24"/>
        </w:rPr>
      </w:pPr>
      <w:r w:rsidRPr="001E79A2">
        <w:rPr>
          <w:szCs w:val="24"/>
        </w:rPr>
        <w:t>I medfør af § 42, stk. 3</w:t>
      </w:r>
      <w:r w:rsidRPr="001E79A2">
        <w:rPr>
          <w:rStyle w:val="Fodnotehenvisning"/>
          <w:szCs w:val="24"/>
        </w:rPr>
        <w:footnoteReference w:id="1"/>
      </w:r>
      <w:r w:rsidRPr="001E79A2">
        <w:rPr>
          <w:szCs w:val="24"/>
        </w:rPr>
        <w:t xml:space="preserve">, i lov nr. 324 af 16. marts 2022 om midlertidig opholdstilladelse til personer, der er fordrevet fra Ukraine, som senest ændret ved § 4 i lov nr. 1575 af 12. december </w:t>
      </w:r>
      <w:r w:rsidRPr="001E79A2">
        <w:rPr>
          <w:szCs w:val="24"/>
        </w:rPr>
        <w:lastRenderedPageBreak/>
        <w:t>2023 om ændring af udlændingeloven, lov om midlertidig opholdstilladelse til personer, der er fordrevet fra Ukraine, og hjemrejseloven (styrkelse af udlændingemyndighedernes og politiets værktøjer til kontrol af udlændinges indrejse og ophold i Danmark), bestemmes:</w:t>
      </w:r>
    </w:p>
    <w:p w14:paraId="5CA01BAE" w14:textId="77777777" w:rsidR="00EF15A8" w:rsidRDefault="00EF15A8" w:rsidP="00EF15A8">
      <w:pPr>
        <w:rPr>
          <w:sz w:val="20"/>
          <w:szCs w:val="20"/>
        </w:rPr>
      </w:pPr>
    </w:p>
    <w:p w14:paraId="0552B9A8" w14:textId="77777777" w:rsidR="00EF15A8" w:rsidRDefault="00EF15A8" w:rsidP="00EF15A8">
      <w:pPr>
        <w:jc w:val="center"/>
        <w:rPr>
          <w:b/>
          <w:szCs w:val="24"/>
        </w:rPr>
      </w:pPr>
      <w:r>
        <w:rPr>
          <w:b/>
        </w:rPr>
        <w:t>§ 1</w:t>
      </w:r>
    </w:p>
    <w:p w14:paraId="51A91488" w14:textId="77777777" w:rsidR="00EF15A8" w:rsidRDefault="00EF15A8" w:rsidP="00EF15A8">
      <w:pPr>
        <w:rPr>
          <w:szCs w:val="24"/>
        </w:rPr>
      </w:pPr>
    </w:p>
    <w:p w14:paraId="5E858F94" w14:textId="77777777" w:rsidR="00EF15A8" w:rsidRDefault="00EF15A8" w:rsidP="00EF15A8">
      <w:pPr>
        <w:jc w:val="both"/>
        <w:rPr>
          <w:szCs w:val="24"/>
        </w:rPr>
      </w:pPr>
      <w:r>
        <w:rPr>
          <w:szCs w:val="24"/>
        </w:rPr>
        <w:t>I anordning nr. 433 af 8. april 2022, som ændret ved anordning nr. 493 af 12. maj 2023, foretages følgende ændring:</w:t>
      </w:r>
    </w:p>
    <w:p w14:paraId="44E2095E" w14:textId="77777777" w:rsidR="00EF15A8" w:rsidRDefault="00EF15A8" w:rsidP="00EF15A8">
      <w:pPr>
        <w:rPr>
          <w:szCs w:val="24"/>
        </w:rPr>
      </w:pPr>
    </w:p>
    <w:p w14:paraId="2E8E2481" w14:textId="77777777" w:rsidR="00EF15A8" w:rsidRDefault="00EF15A8" w:rsidP="00EF15A8">
      <w:pPr>
        <w:jc w:val="both"/>
        <w:rPr>
          <w:szCs w:val="24"/>
        </w:rPr>
      </w:pPr>
      <w:r>
        <w:rPr>
          <w:rFonts w:eastAsia="Times New Roman"/>
          <w:b/>
          <w:bCs/>
          <w:lang w:eastAsia="da-DK"/>
        </w:rPr>
        <w:t>1.</w:t>
      </w:r>
      <w:r>
        <w:rPr>
          <w:rFonts w:eastAsia="Times New Roman"/>
          <w:szCs w:val="24"/>
          <w:lang w:eastAsia="da-DK"/>
        </w:rPr>
        <w:t xml:space="preserve"> </w:t>
      </w:r>
      <w:r>
        <w:rPr>
          <w:szCs w:val="24"/>
        </w:rPr>
        <w:t xml:space="preserve">I </w:t>
      </w:r>
      <w:r>
        <w:rPr>
          <w:i/>
          <w:szCs w:val="24"/>
        </w:rPr>
        <w:t>§ 3, stk. 1,</w:t>
      </w:r>
      <w:r>
        <w:rPr>
          <w:szCs w:val="24"/>
        </w:rPr>
        <w:t xml:space="preserve"> ændres »200« til: »250«.</w:t>
      </w:r>
    </w:p>
    <w:p w14:paraId="1E1B3C09" w14:textId="77777777" w:rsidR="00EF15A8" w:rsidRDefault="00EF15A8" w:rsidP="00EF15A8">
      <w:pPr>
        <w:rPr>
          <w:rFonts w:eastAsia="Times New Roman" w:cstheme="minorBidi"/>
          <w:i/>
          <w:szCs w:val="24"/>
          <w:lang w:eastAsia="da-DK"/>
        </w:rPr>
      </w:pPr>
    </w:p>
    <w:p w14:paraId="0B4BFFF0" w14:textId="77777777" w:rsidR="00EF15A8" w:rsidRDefault="00EF15A8" w:rsidP="00EF15A8">
      <w:pPr>
        <w:rPr>
          <w:rFonts w:eastAsia="Times New Roman"/>
          <w:szCs w:val="24"/>
          <w:lang w:eastAsia="da-DK"/>
        </w:rPr>
      </w:pPr>
    </w:p>
    <w:p w14:paraId="7DA64711" w14:textId="77777777" w:rsidR="00EF15A8" w:rsidRDefault="00EF15A8" w:rsidP="00EF15A8">
      <w:pPr>
        <w:jc w:val="center"/>
        <w:rPr>
          <w:rFonts w:eastAsiaTheme="minorHAnsi"/>
          <w:b/>
        </w:rPr>
      </w:pPr>
      <w:r>
        <w:rPr>
          <w:b/>
        </w:rPr>
        <w:t>§ 2</w:t>
      </w:r>
    </w:p>
    <w:p w14:paraId="6F014FCF" w14:textId="77777777" w:rsidR="00EF15A8" w:rsidRDefault="00EF15A8" w:rsidP="00EF15A8">
      <w:pPr>
        <w:jc w:val="center"/>
        <w:rPr>
          <w:b/>
        </w:rPr>
      </w:pPr>
    </w:p>
    <w:p w14:paraId="205FA320" w14:textId="77777777" w:rsidR="00EF15A8" w:rsidRDefault="00EF15A8" w:rsidP="00EF15A8">
      <w:pPr>
        <w:jc w:val="both"/>
        <w:rPr>
          <w:szCs w:val="24"/>
        </w:rPr>
      </w:pPr>
      <w:r>
        <w:t>Anordningen træder i kraft dagen efter kundgørelse i Kunngerðablaðið.</w:t>
      </w:r>
    </w:p>
    <w:p w14:paraId="1001BDE6" w14:textId="77777777" w:rsidR="00EF15A8" w:rsidRDefault="00EF15A8" w:rsidP="00EF15A8">
      <w:pPr>
        <w:rPr>
          <w:szCs w:val="24"/>
        </w:rPr>
      </w:pPr>
    </w:p>
    <w:p w14:paraId="2DDEC7AB" w14:textId="77777777" w:rsidR="00EF15A8" w:rsidRDefault="00EF15A8" w:rsidP="00EF15A8">
      <w:pPr>
        <w:jc w:val="center"/>
        <w:rPr>
          <w:i/>
          <w:szCs w:val="24"/>
        </w:rPr>
      </w:pPr>
      <w:r>
        <w:rPr>
          <w:i/>
          <w:szCs w:val="24"/>
        </w:rPr>
        <w:t>Underskriftssted og dato</w:t>
      </w:r>
    </w:p>
    <w:p w14:paraId="569EBDEA" w14:textId="77777777" w:rsidR="00EF15A8" w:rsidRDefault="00EF15A8" w:rsidP="00EF15A8">
      <w:pPr>
        <w:jc w:val="center"/>
        <w:rPr>
          <w:i/>
          <w:szCs w:val="24"/>
        </w:rPr>
      </w:pPr>
    </w:p>
    <w:p w14:paraId="22E8AF33" w14:textId="77777777" w:rsidR="00EF15A8" w:rsidRDefault="00EF15A8" w:rsidP="00EF15A8">
      <w:pPr>
        <w:jc w:val="center"/>
        <w:rPr>
          <w:szCs w:val="24"/>
        </w:rPr>
      </w:pPr>
      <w:r>
        <w:rPr>
          <w:szCs w:val="24"/>
        </w:rPr>
        <w:t>Under Vor Kongelige Hånd og Segl</w:t>
      </w:r>
    </w:p>
    <w:p w14:paraId="5395EE4D" w14:textId="77777777" w:rsidR="00EF15A8" w:rsidRDefault="00EF15A8" w:rsidP="00EF15A8">
      <w:pPr>
        <w:jc w:val="center"/>
        <w:rPr>
          <w:szCs w:val="24"/>
        </w:rPr>
      </w:pPr>
    </w:p>
    <w:p w14:paraId="39E3D158" w14:textId="77777777" w:rsidR="00EF15A8" w:rsidRDefault="00EF15A8" w:rsidP="00EF15A8">
      <w:pPr>
        <w:jc w:val="center"/>
        <w:rPr>
          <w:szCs w:val="24"/>
        </w:rPr>
      </w:pPr>
      <w:r>
        <w:rPr>
          <w:szCs w:val="24"/>
        </w:rPr>
        <w:t>Underskriver 1</w:t>
      </w:r>
    </w:p>
    <w:p w14:paraId="73E300D8" w14:textId="77777777" w:rsidR="00EF15A8" w:rsidRDefault="00EF15A8" w:rsidP="00EF15A8">
      <w:pPr>
        <w:jc w:val="center"/>
        <w:rPr>
          <w:szCs w:val="24"/>
        </w:rPr>
      </w:pPr>
    </w:p>
    <w:p w14:paraId="66A4638A" w14:textId="77777777" w:rsidR="00EF15A8" w:rsidRDefault="00EF15A8" w:rsidP="00EF15A8">
      <w:pPr>
        <w:jc w:val="right"/>
        <w:rPr>
          <w:rFonts w:eastAsiaTheme="minorHAnsi" w:cstheme="minorBidi"/>
        </w:rPr>
      </w:pPr>
      <w:r>
        <w:rPr>
          <w:szCs w:val="24"/>
        </w:rPr>
        <w:t>/Underskriver 2</w:t>
      </w:r>
    </w:p>
    <w:p w14:paraId="6CF4B8B9" w14:textId="77777777" w:rsidR="00EF15A8" w:rsidRDefault="00EF15A8" w:rsidP="00D91F2D">
      <w:pPr>
        <w:pStyle w:val="Ingenafstand"/>
        <w:jc w:val="center"/>
        <w:rPr>
          <w:b/>
          <w:sz w:val="24"/>
          <w:szCs w:val="24"/>
        </w:rPr>
      </w:pPr>
    </w:p>
    <w:p w14:paraId="037FC4B9" w14:textId="77777777" w:rsidR="00EF15A8" w:rsidRDefault="00EF15A8" w:rsidP="00D91F2D">
      <w:pPr>
        <w:pStyle w:val="Ingenafstand"/>
        <w:jc w:val="center"/>
        <w:rPr>
          <w:b/>
          <w:sz w:val="24"/>
          <w:szCs w:val="24"/>
        </w:rPr>
      </w:pPr>
    </w:p>
    <w:p w14:paraId="49CEB522" w14:textId="77777777" w:rsidR="00EF15A8" w:rsidRDefault="00EF15A8" w:rsidP="00D91F2D">
      <w:pPr>
        <w:pStyle w:val="Ingenafstand"/>
        <w:jc w:val="center"/>
        <w:rPr>
          <w:b/>
          <w:sz w:val="24"/>
          <w:szCs w:val="24"/>
        </w:rPr>
      </w:pPr>
    </w:p>
    <w:p w14:paraId="3241A9B1" w14:textId="77777777" w:rsidR="00EF15A8" w:rsidRDefault="00EF15A8" w:rsidP="00D91F2D">
      <w:pPr>
        <w:pStyle w:val="Ingenafstand"/>
        <w:jc w:val="center"/>
        <w:rPr>
          <w:b/>
          <w:sz w:val="24"/>
          <w:szCs w:val="24"/>
        </w:rPr>
      </w:pPr>
    </w:p>
    <w:p w14:paraId="5693EC04" w14:textId="77777777" w:rsidR="00EF15A8" w:rsidRDefault="00EF15A8" w:rsidP="00D91F2D">
      <w:pPr>
        <w:pStyle w:val="Ingenafstand"/>
        <w:jc w:val="center"/>
        <w:rPr>
          <w:b/>
          <w:sz w:val="24"/>
          <w:szCs w:val="24"/>
        </w:rPr>
      </w:pPr>
    </w:p>
    <w:p w14:paraId="347DDE9D" w14:textId="77777777" w:rsidR="00EF15A8" w:rsidRDefault="00EF15A8" w:rsidP="00D91F2D">
      <w:pPr>
        <w:pStyle w:val="Ingenafstand"/>
        <w:jc w:val="center"/>
        <w:rPr>
          <w:b/>
          <w:sz w:val="24"/>
          <w:szCs w:val="24"/>
        </w:rPr>
      </w:pPr>
    </w:p>
    <w:p w14:paraId="216D476C" w14:textId="77777777" w:rsidR="00EF15A8" w:rsidRDefault="00EF15A8" w:rsidP="00D91F2D">
      <w:pPr>
        <w:pStyle w:val="Ingenafstand"/>
        <w:jc w:val="center"/>
        <w:rPr>
          <w:b/>
          <w:sz w:val="24"/>
          <w:szCs w:val="24"/>
        </w:rPr>
      </w:pPr>
    </w:p>
    <w:p w14:paraId="26B42AE6" w14:textId="77777777" w:rsidR="00EF15A8" w:rsidRDefault="00EF15A8" w:rsidP="00D91F2D">
      <w:pPr>
        <w:pStyle w:val="Ingenafstand"/>
        <w:jc w:val="center"/>
        <w:rPr>
          <w:b/>
          <w:sz w:val="24"/>
          <w:szCs w:val="24"/>
        </w:rPr>
      </w:pPr>
    </w:p>
    <w:p w14:paraId="3B007B70" w14:textId="77777777" w:rsidR="00EF15A8" w:rsidRDefault="00EF15A8" w:rsidP="00D91F2D">
      <w:pPr>
        <w:pStyle w:val="Ingenafstand"/>
        <w:jc w:val="center"/>
        <w:rPr>
          <w:b/>
          <w:sz w:val="24"/>
          <w:szCs w:val="24"/>
        </w:rPr>
      </w:pPr>
    </w:p>
    <w:p w14:paraId="4BFE5249" w14:textId="77777777" w:rsidR="00EF15A8" w:rsidRDefault="00EF15A8" w:rsidP="00D91F2D">
      <w:pPr>
        <w:pStyle w:val="Ingenafstand"/>
        <w:jc w:val="center"/>
        <w:rPr>
          <w:b/>
          <w:sz w:val="24"/>
          <w:szCs w:val="24"/>
        </w:rPr>
      </w:pPr>
    </w:p>
    <w:p w14:paraId="183DC4B7" w14:textId="77777777" w:rsidR="00EF15A8" w:rsidRDefault="00EF15A8" w:rsidP="00D91F2D">
      <w:pPr>
        <w:pStyle w:val="Ingenafstand"/>
        <w:jc w:val="center"/>
        <w:rPr>
          <w:b/>
          <w:sz w:val="24"/>
          <w:szCs w:val="24"/>
        </w:rPr>
      </w:pPr>
    </w:p>
    <w:p w14:paraId="4C04AA81" w14:textId="77777777" w:rsidR="00EF15A8" w:rsidRDefault="00EF15A8" w:rsidP="00D91F2D">
      <w:pPr>
        <w:pStyle w:val="Ingenafstand"/>
        <w:jc w:val="center"/>
        <w:rPr>
          <w:b/>
          <w:sz w:val="24"/>
          <w:szCs w:val="24"/>
        </w:rPr>
      </w:pPr>
    </w:p>
    <w:p w14:paraId="08550CA3" w14:textId="25888420" w:rsidR="00BF46D7" w:rsidRPr="00BF46D7" w:rsidRDefault="00BF46D7" w:rsidP="00B05B61">
      <w:pPr>
        <w:spacing w:after="0" w:line="240" w:lineRule="auto"/>
        <w:jc w:val="both"/>
        <w:rPr>
          <w:b/>
          <w:szCs w:val="24"/>
          <w:lang w:val="fo-FO"/>
        </w:rPr>
      </w:pPr>
      <w:r w:rsidRPr="00BF46D7">
        <w:rPr>
          <w:b/>
          <w:szCs w:val="24"/>
          <w:lang w:val="fo-FO"/>
        </w:rPr>
        <w:lastRenderedPageBreak/>
        <w:t>Kapittul 1. Almennar viðmerkingar</w:t>
      </w:r>
    </w:p>
    <w:p w14:paraId="41D284B5" w14:textId="77777777" w:rsidR="00BF46D7" w:rsidRPr="00513F28" w:rsidRDefault="00BF46D7" w:rsidP="00B05B61">
      <w:pPr>
        <w:spacing w:after="0" w:line="240" w:lineRule="auto"/>
        <w:jc w:val="both"/>
        <w:rPr>
          <w:bCs/>
          <w:szCs w:val="24"/>
          <w:lang w:val="fo-FO"/>
        </w:rPr>
      </w:pPr>
    </w:p>
    <w:p w14:paraId="4439F623" w14:textId="77777777" w:rsidR="00BF46D7" w:rsidRPr="00513F28" w:rsidRDefault="00BF46D7" w:rsidP="00B05B61">
      <w:pPr>
        <w:spacing w:after="0" w:line="240" w:lineRule="auto"/>
        <w:jc w:val="both"/>
        <w:rPr>
          <w:bCs/>
          <w:szCs w:val="24"/>
          <w:lang w:val="fo-FO"/>
        </w:rPr>
      </w:pPr>
    </w:p>
    <w:p w14:paraId="7EA46325" w14:textId="77777777" w:rsidR="00BF46D7" w:rsidRPr="00BF46D7" w:rsidRDefault="00BF46D7" w:rsidP="00B05B61">
      <w:pPr>
        <w:spacing w:after="0" w:line="240" w:lineRule="auto"/>
        <w:rPr>
          <w:b/>
          <w:szCs w:val="24"/>
          <w:lang w:val="fo-FO"/>
        </w:rPr>
      </w:pPr>
      <w:r w:rsidRPr="00BF46D7">
        <w:rPr>
          <w:b/>
          <w:szCs w:val="24"/>
          <w:lang w:val="fo-FO"/>
        </w:rPr>
        <w:t>1.1. Orsakir til uppskotið</w:t>
      </w:r>
    </w:p>
    <w:p w14:paraId="481BB645" w14:textId="71C6C1D5" w:rsidR="003A362C" w:rsidRDefault="000A11BA" w:rsidP="00B05B61">
      <w:pPr>
        <w:spacing w:after="0" w:line="240" w:lineRule="auto"/>
        <w:jc w:val="both"/>
        <w:rPr>
          <w:szCs w:val="24"/>
          <w:lang w:val="fo-FO"/>
        </w:rPr>
      </w:pPr>
      <w:r>
        <w:rPr>
          <w:szCs w:val="24"/>
          <w:lang w:val="fo-FO"/>
        </w:rPr>
        <w:t>Russiska innrásin í Ukraina tann</w:t>
      </w:r>
      <w:r w:rsidR="003A362C" w:rsidRPr="003A362C">
        <w:rPr>
          <w:szCs w:val="24"/>
          <w:lang w:val="fo-FO"/>
        </w:rPr>
        <w:t xml:space="preserve"> 24. februar 2022</w:t>
      </w:r>
      <w:r>
        <w:rPr>
          <w:szCs w:val="24"/>
          <w:lang w:val="fo-FO"/>
        </w:rPr>
        <w:t xml:space="preserve"> </w:t>
      </w:r>
      <w:r w:rsidR="00AE0D25">
        <w:rPr>
          <w:szCs w:val="24"/>
          <w:lang w:val="fo-FO"/>
        </w:rPr>
        <w:t>førdi</w:t>
      </w:r>
      <w:r>
        <w:rPr>
          <w:szCs w:val="24"/>
          <w:lang w:val="fo-FO"/>
        </w:rPr>
        <w:t xml:space="preserve"> við sær </w:t>
      </w:r>
      <w:r w:rsidR="00AE0D25">
        <w:rPr>
          <w:szCs w:val="24"/>
          <w:lang w:val="fo-FO"/>
        </w:rPr>
        <w:t xml:space="preserve">ein </w:t>
      </w:r>
      <w:r w:rsidR="003A362C" w:rsidRPr="003A362C">
        <w:rPr>
          <w:szCs w:val="24"/>
          <w:lang w:val="fo-FO"/>
        </w:rPr>
        <w:t>streym av fólkum úr Ukraina til onnur lond í Evropa</w:t>
      </w:r>
      <w:r w:rsidR="003A362C">
        <w:rPr>
          <w:szCs w:val="24"/>
          <w:lang w:val="fo-FO"/>
        </w:rPr>
        <w:t>.</w:t>
      </w:r>
      <w:r w:rsidR="003A362C" w:rsidRPr="000A11BA">
        <w:rPr>
          <w:lang w:val="fo-FO"/>
        </w:rPr>
        <w:t xml:space="preserve"> </w:t>
      </w:r>
      <w:r w:rsidR="003A362C" w:rsidRPr="003A362C">
        <w:rPr>
          <w:szCs w:val="24"/>
          <w:lang w:val="fo-FO"/>
        </w:rPr>
        <w:t>Mett v</w:t>
      </w:r>
      <w:r w:rsidR="003A362C">
        <w:rPr>
          <w:szCs w:val="24"/>
          <w:lang w:val="fo-FO"/>
        </w:rPr>
        <w:t>arð</w:t>
      </w:r>
      <w:r>
        <w:rPr>
          <w:szCs w:val="24"/>
          <w:lang w:val="fo-FO"/>
        </w:rPr>
        <w:t xml:space="preserve"> tá</w:t>
      </w:r>
      <w:r w:rsidR="003A362C">
        <w:rPr>
          <w:szCs w:val="24"/>
          <w:lang w:val="fo-FO"/>
        </w:rPr>
        <w:t>,</w:t>
      </w:r>
      <w:r w:rsidR="003A362C" w:rsidRPr="003A362C">
        <w:rPr>
          <w:szCs w:val="24"/>
          <w:lang w:val="fo-FO"/>
        </w:rPr>
        <w:t xml:space="preserve"> at</w:t>
      </w:r>
      <w:r w:rsidR="003A362C">
        <w:rPr>
          <w:szCs w:val="24"/>
          <w:lang w:val="fo-FO"/>
        </w:rPr>
        <w:t xml:space="preserve"> </w:t>
      </w:r>
      <w:r w:rsidR="003A362C" w:rsidRPr="003A362C">
        <w:rPr>
          <w:szCs w:val="24"/>
          <w:lang w:val="fo-FO"/>
        </w:rPr>
        <w:t xml:space="preserve">Føroyar </w:t>
      </w:r>
      <w:r>
        <w:rPr>
          <w:szCs w:val="24"/>
          <w:lang w:val="fo-FO"/>
        </w:rPr>
        <w:t>áttu</w:t>
      </w:r>
      <w:r w:rsidR="003A362C" w:rsidRPr="003A362C">
        <w:rPr>
          <w:szCs w:val="24"/>
          <w:lang w:val="fo-FO"/>
        </w:rPr>
        <w:t xml:space="preserve"> at gera sítt til </w:t>
      </w:r>
      <w:r w:rsidR="00E41529">
        <w:rPr>
          <w:szCs w:val="24"/>
          <w:lang w:val="fo-FO"/>
        </w:rPr>
        <w:t xml:space="preserve">fyri </w:t>
      </w:r>
      <w:r w:rsidR="003A362C" w:rsidRPr="003A362C">
        <w:rPr>
          <w:szCs w:val="24"/>
          <w:lang w:val="fo-FO"/>
        </w:rPr>
        <w:t xml:space="preserve">at hjálpa teimum fólkum, ið </w:t>
      </w:r>
      <w:r>
        <w:rPr>
          <w:szCs w:val="24"/>
          <w:lang w:val="fo-FO"/>
        </w:rPr>
        <w:t>vórðu</w:t>
      </w:r>
      <w:r w:rsidR="003A362C" w:rsidRPr="003A362C">
        <w:rPr>
          <w:szCs w:val="24"/>
          <w:lang w:val="fo-FO"/>
        </w:rPr>
        <w:t xml:space="preserve"> rikin burtur úr Ukraina, til støðan í heimlandinum aftur g</w:t>
      </w:r>
      <w:r>
        <w:rPr>
          <w:szCs w:val="24"/>
          <w:lang w:val="fo-FO"/>
        </w:rPr>
        <w:t>jørdist</w:t>
      </w:r>
      <w:r w:rsidR="003A362C" w:rsidRPr="003A362C">
        <w:rPr>
          <w:szCs w:val="24"/>
          <w:lang w:val="fo-FO"/>
        </w:rPr>
        <w:t xml:space="preserve"> trygg</w:t>
      </w:r>
      <w:r w:rsidR="003A362C">
        <w:rPr>
          <w:szCs w:val="24"/>
          <w:lang w:val="fo-FO"/>
        </w:rPr>
        <w:t>.</w:t>
      </w:r>
      <w:r>
        <w:rPr>
          <w:szCs w:val="24"/>
          <w:lang w:val="fo-FO"/>
        </w:rPr>
        <w:t xml:space="preserve"> </w:t>
      </w:r>
      <w:r w:rsidR="00600B0B">
        <w:rPr>
          <w:szCs w:val="24"/>
          <w:lang w:val="fo-FO"/>
        </w:rPr>
        <w:t>Eftir áheitan frá Løgtinginum setti danski ráðharrin í útlendingamálum</w:t>
      </w:r>
      <w:r>
        <w:rPr>
          <w:szCs w:val="24"/>
          <w:lang w:val="fo-FO"/>
        </w:rPr>
        <w:t xml:space="preserve"> tí</w:t>
      </w:r>
      <w:r w:rsidR="00600B0B">
        <w:rPr>
          <w:szCs w:val="24"/>
          <w:lang w:val="fo-FO"/>
        </w:rPr>
        <w:t xml:space="preserve"> í gildi</w:t>
      </w:r>
      <w:r w:rsidR="003A362C">
        <w:rPr>
          <w:szCs w:val="24"/>
          <w:lang w:val="fo-FO"/>
        </w:rPr>
        <w:t xml:space="preserve"> </w:t>
      </w:r>
      <w:r w:rsidR="00600B0B">
        <w:rPr>
          <w:szCs w:val="24"/>
          <w:lang w:val="fo-FO"/>
        </w:rPr>
        <w:t>a</w:t>
      </w:r>
      <w:r w:rsidR="003A362C" w:rsidRPr="003A362C">
        <w:rPr>
          <w:szCs w:val="24"/>
          <w:lang w:val="fo-FO"/>
        </w:rPr>
        <w:t>nordning nr. 433 af 8. april 2022 om ikrafttræden for Færøerne af lov om midlertidig opholdstilladelse til personer, der er fordrevet fra Ukraine</w:t>
      </w:r>
      <w:r w:rsidR="00600B0B">
        <w:rPr>
          <w:szCs w:val="24"/>
          <w:lang w:val="fo-FO"/>
        </w:rPr>
        <w:t xml:space="preserve">. Í § 3, stk. 1, 1. </w:t>
      </w:r>
      <w:r w:rsidR="00E41529">
        <w:rPr>
          <w:szCs w:val="24"/>
          <w:lang w:val="fo-FO"/>
        </w:rPr>
        <w:t>p</w:t>
      </w:r>
      <w:r w:rsidR="00600B0B">
        <w:rPr>
          <w:szCs w:val="24"/>
          <w:lang w:val="fo-FO"/>
        </w:rPr>
        <w:t>kt</w:t>
      </w:r>
      <w:r w:rsidR="00E41529">
        <w:rPr>
          <w:szCs w:val="24"/>
          <w:lang w:val="fo-FO"/>
        </w:rPr>
        <w:t>.</w:t>
      </w:r>
      <w:r w:rsidR="00600B0B">
        <w:rPr>
          <w:szCs w:val="24"/>
          <w:lang w:val="fo-FO"/>
        </w:rPr>
        <w:t xml:space="preserve"> í </w:t>
      </w:r>
      <w:r w:rsidR="000E723C">
        <w:rPr>
          <w:szCs w:val="24"/>
          <w:lang w:val="fo-FO"/>
        </w:rPr>
        <w:t>fyriskipanini</w:t>
      </w:r>
      <w:r w:rsidR="00600B0B">
        <w:rPr>
          <w:szCs w:val="24"/>
          <w:lang w:val="fo-FO"/>
        </w:rPr>
        <w:t xml:space="preserve"> er ásett: “</w:t>
      </w:r>
      <w:r w:rsidR="00600B0B" w:rsidRPr="00600B0B">
        <w:rPr>
          <w:szCs w:val="24"/>
          <w:lang w:val="fo-FO"/>
        </w:rPr>
        <w:t>Opholdstilladelse efter denne lov kan gives inden for en kvote på 200, jf. dog § 5, stk. 2</w:t>
      </w:r>
      <w:r w:rsidR="00600B0B">
        <w:rPr>
          <w:szCs w:val="24"/>
          <w:lang w:val="fo-FO"/>
        </w:rPr>
        <w:t>”</w:t>
      </w:r>
    </w:p>
    <w:p w14:paraId="435A0F3E" w14:textId="77777777" w:rsidR="003A362C" w:rsidRDefault="003A362C" w:rsidP="00B05B61">
      <w:pPr>
        <w:spacing w:after="0" w:line="240" w:lineRule="auto"/>
        <w:jc w:val="both"/>
        <w:rPr>
          <w:szCs w:val="24"/>
          <w:lang w:val="fo-FO"/>
        </w:rPr>
      </w:pPr>
    </w:p>
    <w:p w14:paraId="358C87E7" w14:textId="24D85DB7" w:rsidR="008215D6" w:rsidRDefault="008215D6" w:rsidP="00B05B61">
      <w:pPr>
        <w:spacing w:after="0" w:line="240" w:lineRule="auto"/>
        <w:jc w:val="both"/>
        <w:rPr>
          <w:szCs w:val="24"/>
          <w:lang w:val="fo-FO"/>
        </w:rPr>
      </w:pPr>
      <w:r w:rsidRPr="008215D6">
        <w:rPr>
          <w:szCs w:val="24"/>
          <w:lang w:val="fo-FO"/>
        </w:rPr>
        <w:t>Útlendingastovan upplýs</w:t>
      </w:r>
      <w:r w:rsidR="00B93311">
        <w:rPr>
          <w:szCs w:val="24"/>
          <w:lang w:val="fo-FO"/>
        </w:rPr>
        <w:t xml:space="preserve">ir, at higartil eru 180 </w:t>
      </w:r>
      <w:r w:rsidR="00E717AA">
        <w:rPr>
          <w:szCs w:val="24"/>
          <w:lang w:val="fo-FO"/>
        </w:rPr>
        <w:t xml:space="preserve">fyribils </w:t>
      </w:r>
      <w:r w:rsidRPr="00B93311">
        <w:rPr>
          <w:szCs w:val="24"/>
          <w:lang w:val="fo-FO"/>
        </w:rPr>
        <w:t xml:space="preserve">uppihaldsloyvir </w:t>
      </w:r>
      <w:r w:rsidR="00B93311">
        <w:rPr>
          <w:szCs w:val="24"/>
          <w:lang w:val="fo-FO"/>
        </w:rPr>
        <w:t>latin</w:t>
      </w:r>
      <w:r w:rsidRPr="00B93311">
        <w:rPr>
          <w:szCs w:val="24"/>
          <w:lang w:val="fo-FO"/>
        </w:rPr>
        <w:t xml:space="preserve"> ukrainskum flóttafólkum</w:t>
      </w:r>
      <w:r w:rsidR="00E717AA">
        <w:rPr>
          <w:szCs w:val="24"/>
          <w:lang w:val="fo-FO"/>
        </w:rPr>
        <w:t xml:space="preserve">. </w:t>
      </w:r>
      <w:r w:rsidR="00E717AA" w:rsidRPr="00E717AA">
        <w:rPr>
          <w:szCs w:val="24"/>
          <w:lang w:val="fo-FO"/>
        </w:rPr>
        <w:t>Sostatt er markið</w:t>
      </w:r>
      <w:r w:rsidR="003D2E24">
        <w:rPr>
          <w:szCs w:val="24"/>
          <w:lang w:val="fo-FO"/>
        </w:rPr>
        <w:t xml:space="preserve"> upp</w:t>
      </w:r>
      <w:r w:rsidR="00E717AA" w:rsidRPr="00E717AA">
        <w:rPr>
          <w:szCs w:val="24"/>
          <w:lang w:val="fo-FO"/>
        </w:rPr>
        <w:t xml:space="preserve"> á 200 uppihaldsloyvir </w:t>
      </w:r>
      <w:r w:rsidR="003D2E24">
        <w:rPr>
          <w:szCs w:val="24"/>
          <w:lang w:val="fo-FO"/>
        </w:rPr>
        <w:t>við</w:t>
      </w:r>
      <w:r w:rsidR="00E717AA" w:rsidRPr="00E717AA">
        <w:rPr>
          <w:szCs w:val="24"/>
          <w:lang w:val="fo-FO"/>
        </w:rPr>
        <w:t xml:space="preserve"> at vera nátt.</w:t>
      </w:r>
      <w:r w:rsidR="00E717AA">
        <w:rPr>
          <w:szCs w:val="24"/>
          <w:lang w:val="fo-FO"/>
        </w:rPr>
        <w:t xml:space="preserve"> Tey 180 uppihaldsloyvini eru latin 103 kvinnum, 25 monnum og 52 børnum.</w:t>
      </w:r>
      <w:r w:rsidR="00B93311">
        <w:rPr>
          <w:szCs w:val="24"/>
          <w:lang w:val="fo-FO"/>
        </w:rPr>
        <w:t xml:space="preserve"> </w:t>
      </w:r>
      <w:r w:rsidRPr="00B93311">
        <w:rPr>
          <w:szCs w:val="24"/>
          <w:lang w:val="fo-FO"/>
        </w:rPr>
        <w:t xml:space="preserve"> </w:t>
      </w:r>
      <w:r w:rsidR="00B93311">
        <w:rPr>
          <w:szCs w:val="24"/>
          <w:lang w:val="fo-FO"/>
        </w:rPr>
        <w:t>U</w:t>
      </w:r>
      <w:r w:rsidRPr="00B93311">
        <w:rPr>
          <w:szCs w:val="24"/>
          <w:lang w:val="fo-FO"/>
        </w:rPr>
        <w:t>mleið 4</w:t>
      </w:r>
      <w:r w:rsidR="00B93311" w:rsidRPr="00B93311">
        <w:rPr>
          <w:szCs w:val="24"/>
          <w:lang w:val="fo-FO"/>
        </w:rPr>
        <w:t>1</w:t>
      </w:r>
      <w:r w:rsidRPr="00B93311">
        <w:rPr>
          <w:szCs w:val="24"/>
          <w:lang w:val="fo-FO"/>
        </w:rPr>
        <w:t xml:space="preserve"> av hesum eru farin av landinum aftur.</w:t>
      </w:r>
      <w:r w:rsidR="00A03CDE" w:rsidRPr="00B93311">
        <w:rPr>
          <w:szCs w:val="24"/>
          <w:lang w:val="fo-FO"/>
        </w:rPr>
        <w:t xml:space="preserve"> </w:t>
      </w:r>
    </w:p>
    <w:p w14:paraId="090515D2" w14:textId="77777777" w:rsidR="008215D6" w:rsidRDefault="008215D6" w:rsidP="00B05B61">
      <w:pPr>
        <w:spacing w:after="0" w:line="240" w:lineRule="auto"/>
        <w:jc w:val="both"/>
        <w:rPr>
          <w:szCs w:val="24"/>
          <w:lang w:val="fo-FO"/>
        </w:rPr>
      </w:pPr>
    </w:p>
    <w:p w14:paraId="1B877F9B" w14:textId="6BB22867" w:rsidR="00FC242E" w:rsidRDefault="003A362C" w:rsidP="00B05B61">
      <w:pPr>
        <w:spacing w:after="0" w:line="240" w:lineRule="auto"/>
        <w:jc w:val="both"/>
        <w:rPr>
          <w:szCs w:val="24"/>
          <w:lang w:val="fo-FO"/>
        </w:rPr>
      </w:pPr>
      <w:r>
        <w:rPr>
          <w:szCs w:val="24"/>
          <w:lang w:val="fo-FO"/>
        </w:rPr>
        <w:t>Enn er kríggj í Ukraina</w:t>
      </w:r>
      <w:r w:rsidR="006016DB">
        <w:rPr>
          <w:szCs w:val="24"/>
          <w:lang w:val="fo-FO"/>
        </w:rPr>
        <w:t>,</w:t>
      </w:r>
      <w:r>
        <w:rPr>
          <w:szCs w:val="24"/>
          <w:lang w:val="fo-FO"/>
        </w:rPr>
        <w:t xml:space="preserve"> og fólk </w:t>
      </w:r>
      <w:r w:rsidR="00AE0D25">
        <w:rPr>
          <w:szCs w:val="24"/>
          <w:lang w:val="fo-FO"/>
        </w:rPr>
        <w:t>ríma</w:t>
      </w:r>
      <w:r>
        <w:rPr>
          <w:szCs w:val="24"/>
          <w:lang w:val="fo-FO"/>
        </w:rPr>
        <w:t xml:space="preserve"> úr landinum</w:t>
      </w:r>
      <w:r w:rsidR="000A11BA">
        <w:rPr>
          <w:szCs w:val="24"/>
          <w:lang w:val="fo-FO"/>
        </w:rPr>
        <w:t xml:space="preserve"> og hava tørv á </w:t>
      </w:r>
      <w:r w:rsidR="00AE0D25">
        <w:rPr>
          <w:szCs w:val="24"/>
          <w:lang w:val="fo-FO"/>
        </w:rPr>
        <w:t>fyribils vernd</w:t>
      </w:r>
      <w:r w:rsidR="000A11BA">
        <w:rPr>
          <w:szCs w:val="24"/>
          <w:lang w:val="fo-FO"/>
        </w:rPr>
        <w:t xml:space="preserve"> í øðrum londum</w:t>
      </w:r>
      <w:r>
        <w:rPr>
          <w:szCs w:val="24"/>
          <w:lang w:val="fo-FO"/>
        </w:rPr>
        <w:t xml:space="preserve">. </w:t>
      </w:r>
      <w:r w:rsidR="00FC242E">
        <w:rPr>
          <w:szCs w:val="24"/>
          <w:lang w:val="fo-FO"/>
        </w:rPr>
        <w:t>Føroya Landsstýrið</w:t>
      </w:r>
      <w:r w:rsidR="006016DB">
        <w:rPr>
          <w:szCs w:val="24"/>
          <w:lang w:val="fo-FO"/>
        </w:rPr>
        <w:t xml:space="preserve"> hevur tí </w:t>
      </w:r>
      <w:r w:rsidR="006016DB" w:rsidRPr="006016DB">
        <w:rPr>
          <w:szCs w:val="24"/>
          <w:lang w:val="fo-FO"/>
        </w:rPr>
        <w:t xml:space="preserve">heitt á </w:t>
      </w:r>
      <w:r w:rsidR="003D2E24">
        <w:rPr>
          <w:szCs w:val="24"/>
          <w:lang w:val="fo-FO"/>
        </w:rPr>
        <w:t xml:space="preserve">danska ráðharran í útlendingamálum </w:t>
      </w:r>
      <w:r w:rsidR="006016DB" w:rsidRPr="006016DB">
        <w:rPr>
          <w:szCs w:val="24"/>
          <w:lang w:val="fo-FO"/>
        </w:rPr>
        <w:t>um at gera lógaruppskot</w:t>
      </w:r>
      <w:r w:rsidR="006016DB">
        <w:rPr>
          <w:szCs w:val="24"/>
          <w:lang w:val="fo-FO"/>
        </w:rPr>
        <w:t xml:space="preserve"> um at </w:t>
      </w:r>
      <w:r w:rsidR="00FC242E">
        <w:rPr>
          <w:szCs w:val="24"/>
          <w:lang w:val="fo-FO"/>
        </w:rPr>
        <w:t>økja kvotuna av</w:t>
      </w:r>
      <w:r w:rsidR="003D2E24">
        <w:rPr>
          <w:szCs w:val="24"/>
          <w:lang w:val="fo-FO"/>
        </w:rPr>
        <w:t xml:space="preserve"> fyribils</w:t>
      </w:r>
      <w:r w:rsidR="00FC242E">
        <w:rPr>
          <w:szCs w:val="24"/>
          <w:lang w:val="fo-FO"/>
        </w:rPr>
        <w:t xml:space="preserve"> uppihaldsloyvum</w:t>
      </w:r>
      <w:r w:rsidR="006016DB">
        <w:rPr>
          <w:szCs w:val="24"/>
          <w:lang w:val="fo-FO"/>
        </w:rPr>
        <w:t xml:space="preserve"> í Føroyum til fólk, sum verða rikin úr Ukraina, </w:t>
      </w:r>
      <w:r w:rsidR="00FC242E">
        <w:rPr>
          <w:szCs w:val="24"/>
          <w:lang w:val="fo-FO"/>
        </w:rPr>
        <w:t>úr 200 upp í 250</w:t>
      </w:r>
      <w:r w:rsidR="006016DB">
        <w:rPr>
          <w:szCs w:val="24"/>
          <w:lang w:val="fo-FO"/>
        </w:rPr>
        <w:t xml:space="preserve">. </w:t>
      </w:r>
      <w:r w:rsidR="00FC242E">
        <w:rPr>
          <w:szCs w:val="24"/>
          <w:lang w:val="fo-FO"/>
        </w:rPr>
        <w:t xml:space="preserve"> </w:t>
      </w:r>
    </w:p>
    <w:p w14:paraId="34F31087" w14:textId="77777777" w:rsidR="00FC242E" w:rsidRDefault="00FC242E" w:rsidP="00B05B61">
      <w:pPr>
        <w:spacing w:after="0" w:line="240" w:lineRule="auto"/>
        <w:jc w:val="both"/>
        <w:rPr>
          <w:szCs w:val="24"/>
          <w:lang w:val="fo-FO"/>
        </w:rPr>
      </w:pPr>
    </w:p>
    <w:p w14:paraId="54DA37BA" w14:textId="77777777" w:rsidR="00BF46D7" w:rsidRPr="00BF46D7" w:rsidRDefault="00BF46D7" w:rsidP="00B05B61">
      <w:pPr>
        <w:spacing w:after="0" w:line="240" w:lineRule="auto"/>
        <w:jc w:val="both"/>
        <w:rPr>
          <w:szCs w:val="24"/>
          <w:lang w:val="fo-FO"/>
        </w:rPr>
      </w:pPr>
    </w:p>
    <w:p w14:paraId="25358CB4" w14:textId="77777777" w:rsidR="006F101A" w:rsidRDefault="00BF46D7" w:rsidP="006F101A">
      <w:pPr>
        <w:spacing w:after="0" w:line="240" w:lineRule="auto"/>
        <w:rPr>
          <w:b/>
          <w:szCs w:val="24"/>
          <w:lang w:val="fo-FO"/>
        </w:rPr>
      </w:pPr>
      <w:r w:rsidRPr="00BF46D7">
        <w:rPr>
          <w:b/>
          <w:szCs w:val="24"/>
          <w:lang w:val="fo-FO"/>
        </w:rPr>
        <w:t>1.2. Galdandi lóggáva</w:t>
      </w:r>
    </w:p>
    <w:p w14:paraId="285BD68B" w14:textId="2AF8A41C" w:rsidR="00262E29" w:rsidRDefault="00FB6CE6" w:rsidP="00B43E90">
      <w:pPr>
        <w:spacing w:after="0" w:line="240" w:lineRule="auto"/>
        <w:jc w:val="both"/>
        <w:rPr>
          <w:bCs/>
          <w:szCs w:val="24"/>
          <w:lang w:val="fo-FO"/>
        </w:rPr>
      </w:pPr>
      <w:r>
        <w:rPr>
          <w:bCs/>
          <w:szCs w:val="24"/>
          <w:lang w:val="fo-FO"/>
        </w:rPr>
        <w:t>Ásett er í</w:t>
      </w:r>
      <w:r w:rsidR="006F101A" w:rsidRPr="006F101A">
        <w:rPr>
          <w:bCs/>
          <w:szCs w:val="24"/>
          <w:lang w:val="fo-FO"/>
        </w:rPr>
        <w:t xml:space="preserve"> § 3, stk. 1</w:t>
      </w:r>
      <w:r w:rsidR="00262E29">
        <w:rPr>
          <w:bCs/>
          <w:szCs w:val="24"/>
          <w:lang w:val="fo-FO"/>
        </w:rPr>
        <w:t xml:space="preserve">, 1. </w:t>
      </w:r>
      <w:r w:rsidR="009177A0">
        <w:rPr>
          <w:bCs/>
          <w:szCs w:val="24"/>
          <w:lang w:val="fo-FO"/>
        </w:rPr>
        <w:t>p</w:t>
      </w:r>
      <w:r w:rsidR="00262E29">
        <w:rPr>
          <w:bCs/>
          <w:szCs w:val="24"/>
          <w:lang w:val="fo-FO"/>
        </w:rPr>
        <w:t>kt.</w:t>
      </w:r>
      <w:r w:rsidR="006F101A" w:rsidRPr="006F101A">
        <w:rPr>
          <w:bCs/>
          <w:szCs w:val="24"/>
          <w:lang w:val="fo-FO"/>
        </w:rPr>
        <w:t xml:space="preserve"> í </w:t>
      </w:r>
      <w:r w:rsidR="006F101A">
        <w:rPr>
          <w:bCs/>
          <w:szCs w:val="24"/>
          <w:lang w:val="fo-FO"/>
        </w:rPr>
        <w:t>a</w:t>
      </w:r>
      <w:r w:rsidR="006F101A" w:rsidRPr="006F101A">
        <w:rPr>
          <w:bCs/>
          <w:szCs w:val="24"/>
          <w:lang w:val="fo-FO"/>
        </w:rPr>
        <w:t>nordning nr. 433 af 8. april 2022 om ikrafttræden for Færøerne af lov om midlertidig opholdstilladelse til personer, der er fordrevet fra Ukraine, sum broytt við anordning nr. 493 frá 12. mai 2023</w:t>
      </w:r>
      <w:r w:rsidR="00B43E90">
        <w:rPr>
          <w:bCs/>
          <w:szCs w:val="24"/>
          <w:lang w:val="fo-FO"/>
        </w:rPr>
        <w:t>, at til og við 200 loyvir</w:t>
      </w:r>
      <w:r w:rsidR="00C85E18">
        <w:rPr>
          <w:bCs/>
          <w:szCs w:val="24"/>
          <w:lang w:val="fo-FO"/>
        </w:rPr>
        <w:t xml:space="preserve"> </w:t>
      </w:r>
      <w:r w:rsidR="00B43E90">
        <w:rPr>
          <w:bCs/>
          <w:szCs w:val="24"/>
          <w:lang w:val="fo-FO"/>
        </w:rPr>
        <w:t>kunnu gevast flóttafólk</w:t>
      </w:r>
      <w:r w:rsidR="00262E29">
        <w:rPr>
          <w:bCs/>
          <w:szCs w:val="24"/>
          <w:lang w:val="fo-FO"/>
        </w:rPr>
        <w:t>um</w:t>
      </w:r>
      <w:r w:rsidR="00B43E90">
        <w:rPr>
          <w:bCs/>
          <w:szCs w:val="24"/>
          <w:lang w:val="fo-FO"/>
        </w:rPr>
        <w:t xml:space="preserve"> úr Ukraina</w:t>
      </w:r>
      <w:r>
        <w:rPr>
          <w:bCs/>
          <w:szCs w:val="24"/>
          <w:lang w:val="fo-FO"/>
        </w:rPr>
        <w:t xml:space="preserve"> at hava tilhald í Føroyum.</w:t>
      </w:r>
      <w:r w:rsidR="00C85E18">
        <w:rPr>
          <w:bCs/>
          <w:szCs w:val="24"/>
          <w:lang w:val="fo-FO"/>
        </w:rPr>
        <w:t xml:space="preserve"> </w:t>
      </w:r>
      <w:r w:rsidR="00262E29">
        <w:rPr>
          <w:bCs/>
          <w:szCs w:val="24"/>
          <w:lang w:val="fo-FO"/>
        </w:rPr>
        <w:t>Hetta hevur við sær, at ein umsókn um uppihaldsloyvi eftir núverandi lóggávu verður avvíst, tá kvotan</w:t>
      </w:r>
      <w:r>
        <w:rPr>
          <w:bCs/>
          <w:szCs w:val="24"/>
          <w:lang w:val="fo-FO"/>
        </w:rPr>
        <w:t xml:space="preserve"> á 200</w:t>
      </w:r>
      <w:r w:rsidR="0001573D">
        <w:rPr>
          <w:bCs/>
          <w:szCs w:val="24"/>
          <w:lang w:val="fo-FO"/>
        </w:rPr>
        <w:t>,</w:t>
      </w:r>
      <w:r w:rsidR="009177A0">
        <w:rPr>
          <w:bCs/>
          <w:szCs w:val="24"/>
          <w:lang w:val="fo-FO"/>
        </w:rPr>
        <w:t xml:space="preserve"> sum er nevnd í </w:t>
      </w:r>
      <w:r w:rsidR="00262E29" w:rsidRPr="00262E29">
        <w:rPr>
          <w:bCs/>
          <w:szCs w:val="24"/>
          <w:lang w:val="fo-FO"/>
        </w:rPr>
        <w:t>§ 3, stk. 1, 1. pkt., er</w:t>
      </w:r>
      <w:r w:rsidR="009177A0">
        <w:rPr>
          <w:bCs/>
          <w:szCs w:val="24"/>
          <w:lang w:val="fo-FO"/>
        </w:rPr>
        <w:t xml:space="preserve"> brúkt, uttan so at heilt serligar</w:t>
      </w:r>
      <w:r w:rsidR="0001573D">
        <w:rPr>
          <w:bCs/>
          <w:szCs w:val="24"/>
          <w:lang w:val="fo-FO"/>
        </w:rPr>
        <w:t xml:space="preserve"> </w:t>
      </w:r>
      <w:r w:rsidR="009177A0">
        <w:rPr>
          <w:bCs/>
          <w:szCs w:val="24"/>
          <w:lang w:val="fo-FO"/>
        </w:rPr>
        <w:t>orsøkir</w:t>
      </w:r>
      <w:r w:rsidR="0001573D">
        <w:rPr>
          <w:bCs/>
          <w:szCs w:val="24"/>
          <w:lang w:val="fo-FO"/>
        </w:rPr>
        <w:t>,</w:t>
      </w:r>
      <w:r w:rsidR="009177A0">
        <w:rPr>
          <w:bCs/>
          <w:szCs w:val="24"/>
          <w:lang w:val="fo-FO"/>
        </w:rPr>
        <w:t xml:space="preserve"> undir hesum atlit at</w:t>
      </w:r>
      <w:r w:rsidR="0001573D">
        <w:rPr>
          <w:bCs/>
          <w:szCs w:val="24"/>
          <w:lang w:val="fo-FO"/>
        </w:rPr>
        <w:t xml:space="preserve"> familju</w:t>
      </w:r>
      <w:r>
        <w:rPr>
          <w:bCs/>
          <w:szCs w:val="24"/>
          <w:lang w:val="fo-FO"/>
        </w:rPr>
        <w:t>ni</w:t>
      </w:r>
      <w:r w:rsidR="0001573D">
        <w:rPr>
          <w:bCs/>
          <w:szCs w:val="24"/>
          <w:lang w:val="fo-FO"/>
        </w:rPr>
        <w:t xml:space="preserve"> sum eini eind,</w:t>
      </w:r>
      <w:r w:rsidR="00262E29" w:rsidRPr="00262E29">
        <w:rPr>
          <w:bCs/>
          <w:szCs w:val="24"/>
          <w:lang w:val="fo-FO"/>
        </w:rPr>
        <w:t xml:space="preserve"> tal</w:t>
      </w:r>
      <w:r w:rsidR="009177A0">
        <w:rPr>
          <w:bCs/>
          <w:szCs w:val="24"/>
          <w:lang w:val="fo-FO"/>
        </w:rPr>
        <w:t>a ímóti hesum</w:t>
      </w:r>
      <w:r w:rsidR="0039572D">
        <w:rPr>
          <w:bCs/>
          <w:szCs w:val="24"/>
          <w:lang w:val="fo-FO"/>
        </w:rPr>
        <w:t>,</w:t>
      </w:r>
      <w:r w:rsidR="009177A0">
        <w:rPr>
          <w:bCs/>
          <w:szCs w:val="24"/>
          <w:lang w:val="fo-FO"/>
        </w:rPr>
        <w:t xml:space="preserve"> sbr.</w:t>
      </w:r>
      <w:r w:rsidR="00262E29" w:rsidRPr="00262E29">
        <w:rPr>
          <w:bCs/>
          <w:szCs w:val="24"/>
          <w:lang w:val="fo-FO"/>
        </w:rPr>
        <w:t xml:space="preserve"> § 5, stk. 2.</w:t>
      </w:r>
    </w:p>
    <w:p w14:paraId="0836C279" w14:textId="77777777" w:rsidR="000D4FB5" w:rsidRPr="001E79A2" w:rsidRDefault="000D4FB5" w:rsidP="00B43E90">
      <w:pPr>
        <w:spacing w:after="0" w:line="240" w:lineRule="auto"/>
        <w:jc w:val="both"/>
        <w:rPr>
          <w:bCs/>
          <w:szCs w:val="24"/>
          <w:lang w:val="fo-FO"/>
        </w:rPr>
      </w:pPr>
    </w:p>
    <w:p w14:paraId="4F1A55CE" w14:textId="77777777" w:rsidR="00BF46D7" w:rsidRPr="001E79A2" w:rsidRDefault="00BF46D7" w:rsidP="00B43E90">
      <w:pPr>
        <w:spacing w:after="0" w:line="240" w:lineRule="auto"/>
        <w:jc w:val="both"/>
        <w:rPr>
          <w:bCs/>
          <w:szCs w:val="24"/>
          <w:lang w:val="fo-FO"/>
        </w:rPr>
      </w:pPr>
    </w:p>
    <w:p w14:paraId="405A8E49" w14:textId="77777777" w:rsidR="00BF46D7" w:rsidRPr="00BF46D7" w:rsidRDefault="00BF46D7" w:rsidP="00B05B61">
      <w:pPr>
        <w:spacing w:after="0" w:line="240" w:lineRule="auto"/>
        <w:rPr>
          <w:b/>
          <w:szCs w:val="24"/>
          <w:lang w:val="fo-FO"/>
        </w:rPr>
      </w:pPr>
      <w:r w:rsidRPr="00BF46D7">
        <w:rPr>
          <w:b/>
          <w:szCs w:val="24"/>
          <w:lang w:val="fo-FO"/>
        </w:rPr>
        <w:t>1.3. Endamálið við uppskotinum</w:t>
      </w:r>
    </w:p>
    <w:p w14:paraId="55115AE5" w14:textId="223BB01C" w:rsidR="00C85E18" w:rsidRDefault="00C85E18" w:rsidP="00B05B61">
      <w:pPr>
        <w:spacing w:after="0" w:line="240" w:lineRule="auto"/>
        <w:jc w:val="both"/>
        <w:rPr>
          <w:szCs w:val="24"/>
          <w:lang w:val="fo-FO"/>
        </w:rPr>
      </w:pPr>
      <w:r>
        <w:rPr>
          <w:szCs w:val="24"/>
          <w:lang w:val="fo-FO"/>
        </w:rPr>
        <w:t xml:space="preserve">Endamálið við uppskotinum er at økja talið av </w:t>
      </w:r>
      <w:r w:rsidR="003D2E24">
        <w:rPr>
          <w:szCs w:val="24"/>
          <w:lang w:val="fo-FO"/>
        </w:rPr>
        <w:t xml:space="preserve">fyribils </w:t>
      </w:r>
      <w:r>
        <w:rPr>
          <w:szCs w:val="24"/>
          <w:lang w:val="fo-FO"/>
        </w:rPr>
        <w:t>uppihaldsloyvum til</w:t>
      </w:r>
      <w:r w:rsidR="00AE0D25">
        <w:rPr>
          <w:szCs w:val="24"/>
          <w:lang w:val="fo-FO"/>
        </w:rPr>
        <w:t xml:space="preserve"> </w:t>
      </w:r>
      <w:r w:rsidR="003D2E24">
        <w:rPr>
          <w:szCs w:val="24"/>
          <w:lang w:val="fo-FO"/>
        </w:rPr>
        <w:t>persónar</w:t>
      </w:r>
      <w:r w:rsidR="00AE0D25">
        <w:rPr>
          <w:szCs w:val="24"/>
          <w:lang w:val="fo-FO"/>
        </w:rPr>
        <w:t>, sum er</w:t>
      </w:r>
      <w:r w:rsidR="008215D6">
        <w:rPr>
          <w:szCs w:val="24"/>
          <w:lang w:val="fo-FO"/>
        </w:rPr>
        <w:t>u</w:t>
      </w:r>
      <w:r w:rsidR="00AE0D25">
        <w:rPr>
          <w:szCs w:val="24"/>
          <w:lang w:val="fo-FO"/>
        </w:rPr>
        <w:t xml:space="preserve"> riknir úr Ukraina,</w:t>
      </w:r>
      <w:r>
        <w:rPr>
          <w:szCs w:val="24"/>
          <w:lang w:val="fo-FO"/>
        </w:rPr>
        <w:t xml:space="preserve"> úr 200 uppihaldsloyvum upp í 250 uppihaldsloyvir</w:t>
      </w:r>
      <w:r w:rsidR="00262E29">
        <w:rPr>
          <w:szCs w:val="24"/>
          <w:lang w:val="fo-FO"/>
        </w:rPr>
        <w:t>.</w:t>
      </w:r>
    </w:p>
    <w:p w14:paraId="3CEEDEB5" w14:textId="77777777" w:rsidR="00C85E18" w:rsidRPr="001E79A2" w:rsidRDefault="00C85E18" w:rsidP="00B05B61">
      <w:pPr>
        <w:spacing w:after="0" w:line="240" w:lineRule="auto"/>
        <w:jc w:val="both"/>
        <w:rPr>
          <w:szCs w:val="24"/>
          <w:lang w:val="fo-FO"/>
        </w:rPr>
      </w:pPr>
    </w:p>
    <w:p w14:paraId="72C35FB7" w14:textId="77777777" w:rsidR="00BF46D7" w:rsidRPr="001E79A2" w:rsidRDefault="00BF46D7" w:rsidP="00B05B61">
      <w:pPr>
        <w:spacing w:after="0" w:line="240" w:lineRule="auto"/>
        <w:jc w:val="both"/>
        <w:rPr>
          <w:szCs w:val="24"/>
          <w:lang w:val="fo-FO"/>
        </w:rPr>
      </w:pPr>
    </w:p>
    <w:p w14:paraId="4C3BF647" w14:textId="77777777" w:rsidR="00BF46D7" w:rsidRPr="00BF46D7" w:rsidRDefault="00BF46D7" w:rsidP="00B05B61">
      <w:pPr>
        <w:spacing w:after="0" w:line="240" w:lineRule="auto"/>
        <w:rPr>
          <w:b/>
          <w:szCs w:val="24"/>
          <w:lang w:val="fo-FO"/>
        </w:rPr>
      </w:pPr>
      <w:r w:rsidRPr="00BF46D7">
        <w:rPr>
          <w:b/>
          <w:szCs w:val="24"/>
          <w:lang w:val="fo-FO"/>
        </w:rPr>
        <w:t>1.4. Samandráttur av nýskipanini við uppskotinum</w:t>
      </w:r>
    </w:p>
    <w:p w14:paraId="27C7F2BF" w14:textId="1BED87D5" w:rsidR="00737BDD" w:rsidRPr="0048433C" w:rsidRDefault="00F914E3" w:rsidP="00B05B61">
      <w:pPr>
        <w:spacing w:after="0" w:line="240" w:lineRule="auto"/>
        <w:jc w:val="both"/>
        <w:rPr>
          <w:color w:val="000000" w:themeColor="text1"/>
          <w:szCs w:val="24"/>
          <w:lang w:val="fo-FO"/>
        </w:rPr>
      </w:pPr>
      <w:r w:rsidRPr="0048433C">
        <w:rPr>
          <w:color w:val="000000" w:themeColor="text1"/>
          <w:szCs w:val="24"/>
          <w:lang w:val="fo-FO"/>
        </w:rPr>
        <w:t>Udlændinge- og Integrationsministeriet skjýtur upp,</w:t>
      </w:r>
      <w:r w:rsidR="0048433C" w:rsidRPr="0048433C">
        <w:rPr>
          <w:color w:val="000000" w:themeColor="text1"/>
          <w:szCs w:val="24"/>
          <w:lang w:val="fo-FO"/>
        </w:rPr>
        <w:t xml:space="preserve"> eftir umbøn frá Føroya Landsstýrið,</w:t>
      </w:r>
      <w:r w:rsidRPr="0048433C">
        <w:rPr>
          <w:color w:val="000000" w:themeColor="text1"/>
          <w:szCs w:val="24"/>
          <w:lang w:val="fo-FO"/>
        </w:rPr>
        <w:t xml:space="preserve"> at broyta orðingina í § 3, stk. 1</w:t>
      </w:r>
      <w:r w:rsidR="0048433C" w:rsidRPr="0048433C">
        <w:rPr>
          <w:color w:val="000000" w:themeColor="text1"/>
          <w:szCs w:val="24"/>
          <w:lang w:val="fo-FO"/>
        </w:rPr>
        <w:t>, 1. pkt.</w:t>
      </w:r>
      <w:r w:rsidR="0048433C" w:rsidRPr="0048433C">
        <w:t xml:space="preserve"> </w:t>
      </w:r>
      <w:r w:rsidR="0048433C" w:rsidRPr="0048433C">
        <w:rPr>
          <w:color w:val="000000" w:themeColor="text1"/>
          <w:szCs w:val="24"/>
          <w:lang w:val="fo-FO"/>
        </w:rPr>
        <w:t>í anordning nr. 433 af 8. april 2022 om ikrafttræden for Færøerne af lov om midlertidig opholdstilladelse til personer, der er fordrevet fra Ukraine</w:t>
      </w:r>
      <w:r w:rsidRPr="0048433C">
        <w:rPr>
          <w:color w:val="000000" w:themeColor="text1"/>
          <w:szCs w:val="24"/>
          <w:lang w:val="fo-FO"/>
        </w:rPr>
        <w:t xml:space="preserve"> soleiðis, at </w:t>
      </w:r>
      <w:r w:rsidR="0048433C" w:rsidRPr="0048433C">
        <w:rPr>
          <w:color w:val="000000" w:themeColor="text1"/>
          <w:szCs w:val="24"/>
          <w:lang w:val="fo-FO"/>
        </w:rPr>
        <w:t xml:space="preserve">talið </w:t>
      </w:r>
      <w:r w:rsidR="005E32AA" w:rsidRPr="0048433C">
        <w:rPr>
          <w:color w:val="000000" w:themeColor="text1"/>
          <w:szCs w:val="24"/>
          <w:lang w:val="fo-FO"/>
        </w:rPr>
        <w:t xml:space="preserve">av </w:t>
      </w:r>
      <w:r w:rsidR="0048433C" w:rsidRPr="0048433C">
        <w:rPr>
          <w:color w:val="000000" w:themeColor="text1"/>
          <w:szCs w:val="24"/>
          <w:lang w:val="fo-FO"/>
        </w:rPr>
        <w:t xml:space="preserve">fyribils </w:t>
      </w:r>
      <w:r w:rsidRPr="0048433C">
        <w:rPr>
          <w:color w:val="000000" w:themeColor="text1"/>
          <w:szCs w:val="24"/>
          <w:lang w:val="fo-FO"/>
        </w:rPr>
        <w:t>uppihaldsloyv</w:t>
      </w:r>
      <w:r w:rsidR="005E32AA" w:rsidRPr="0048433C">
        <w:rPr>
          <w:color w:val="000000" w:themeColor="text1"/>
          <w:szCs w:val="24"/>
          <w:lang w:val="fo-FO"/>
        </w:rPr>
        <w:t>um til ukrainsk flóttafólk</w:t>
      </w:r>
      <w:r w:rsidR="0048433C" w:rsidRPr="0048433C">
        <w:rPr>
          <w:color w:val="000000" w:themeColor="text1"/>
          <w:szCs w:val="24"/>
          <w:lang w:val="fo-FO"/>
        </w:rPr>
        <w:t>,</w:t>
      </w:r>
      <w:r w:rsidR="0048433C" w:rsidRPr="0048433C">
        <w:rPr>
          <w:color w:val="000000" w:themeColor="text1"/>
          <w:lang w:val="fo-FO"/>
        </w:rPr>
        <w:t xml:space="preserve"> </w:t>
      </w:r>
      <w:r w:rsidR="0048433C" w:rsidRPr="0048433C">
        <w:rPr>
          <w:color w:val="000000" w:themeColor="text1"/>
          <w:szCs w:val="24"/>
          <w:lang w:val="fo-FO"/>
        </w:rPr>
        <w:t>sum kunnu fráboðast eftir lógini,</w:t>
      </w:r>
      <w:r w:rsidRPr="0048433C">
        <w:rPr>
          <w:color w:val="000000" w:themeColor="text1"/>
          <w:szCs w:val="24"/>
          <w:lang w:val="fo-FO"/>
        </w:rPr>
        <w:t xml:space="preserve"> </w:t>
      </w:r>
      <w:r w:rsidR="0048433C" w:rsidRPr="0048433C">
        <w:rPr>
          <w:color w:val="000000" w:themeColor="text1"/>
          <w:szCs w:val="24"/>
          <w:lang w:val="fo-FO"/>
        </w:rPr>
        <w:t xml:space="preserve">verður 250. </w:t>
      </w:r>
      <w:r w:rsidR="000F2364" w:rsidRPr="0048433C">
        <w:rPr>
          <w:color w:val="000000" w:themeColor="text1"/>
          <w:szCs w:val="24"/>
          <w:lang w:val="fo-FO"/>
        </w:rPr>
        <w:t>Hetta hevur við sær, at núverandi kvota á 200</w:t>
      </w:r>
      <w:r w:rsidR="003D2E24">
        <w:rPr>
          <w:color w:val="000000" w:themeColor="text1"/>
          <w:szCs w:val="24"/>
          <w:lang w:val="fo-FO"/>
        </w:rPr>
        <w:t xml:space="preserve"> fyribils uppihaldsloyvir</w:t>
      </w:r>
      <w:r w:rsidR="0048433C" w:rsidRPr="0048433C">
        <w:rPr>
          <w:color w:val="000000" w:themeColor="text1"/>
          <w:szCs w:val="24"/>
          <w:lang w:val="fo-FO"/>
        </w:rPr>
        <w:t xml:space="preserve"> </w:t>
      </w:r>
      <w:r w:rsidR="000F2364" w:rsidRPr="0048433C">
        <w:rPr>
          <w:color w:val="000000" w:themeColor="text1"/>
          <w:szCs w:val="24"/>
          <w:lang w:val="fo-FO"/>
        </w:rPr>
        <w:t>verður hækkað til 250</w:t>
      </w:r>
      <w:r w:rsidR="00A03CDE">
        <w:rPr>
          <w:color w:val="000000" w:themeColor="text1"/>
          <w:szCs w:val="24"/>
          <w:lang w:val="fo-FO"/>
        </w:rPr>
        <w:t>.</w:t>
      </w:r>
      <w:r w:rsidR="0048433C" w:rsidRPr="0048433C">
        <w:rPr>
          <w:color w:val="000000" w:themeColor="text1"/>
          <w:szCs w:val="24"/>
          <w:lang w:val="fo-FO"/>
        </w:rPr>
        <w:t xml:space="preserve"> </w:t>
      </w:r>
    </w:p>
    <w:p w14:paraId="64F42F7F" w14:textId="77777777" w:rsidR="00BB6390" w:rsidRPr="001E79A2" w:rsidRDefault="00BB6390" w:rsidP="00B05B61">
      <w:pPr>
        <w:spacing w:after="0" w:line="240" w:lineRule="auto"/>
        <w:jc w:val="both"/>
        <w:rPr>
          <w:szCs w:val="24"/>
          <w:lang w:val="fo-FO"/>
        </w:rPr>
      </w:pPr>
    </w:p>
    <w:p w14:paraId="2AD23419" w14:textId="0280B998" w:rsidR="00DD3F8F" w:rsidRDefault="000A11BA" w:rsidP="00B05B61">
      <w:pPr>
        <w:spacing w:after="0" w:line="240" w:lineRule="auto"/>
        <w:jc w:val="both"/>
        <w:rPr>
          <w:szCs w:val="24"/>
          <w:lang w:val="fo-FO"/>
        </w:rPr>
      </w:pPr>
      <w:r>
        <w:rPr>
          <w:szCs w:val="24"/>
          <w:lang w:val="fo-FO"/>
        </w:rPr>
        <w:t xml:space="preserve">Landsstýrismaðurin metir, at tað </w:t>
      </w:r>
      <w:r w:rsidR="000C7D8F">
        <w:rPr>
          <w:szCs w:val="24"/>
          <w:lang w:val="fo-FO"/>
        </w:rPr>
        <w:t xml:space="preserve">sum heild hevur gingið </w:t>
      </w:r>
      <w:r w:rsidR="00E3013D">
        <w:rPr>
          <w:szCs w:val="24"/>
          <w:lang w:val="fo-FO"/>
        </w:rPr>
        <w:t>væl</w:t>
      </w:r>
      <w:r>
        <w:rPr>
          <w:szCs w:val="24"/>
          <w:lang w:val="fo-FO"/>
        </w:rPr>
        <w:t xml:space="preserve"> at taka ímóti teimum flóttafólkunum úr Ukraina, sum higartil eru komin til Føroyar, </w:t>
      </w:r>
      <w:r w:rsidR="000C7D8F">
        <w:rPr>
          <w:szCs w:val="24"/>
          <w:lang w:val="fo-FO"/>
        </w:rPr>
        <w:t>og at tað tí</w:t>
      </w:r>
      <w:r>
        <w:rPr>
          <w:szCs w:val="24"/>
          <w:lang w:val="fo-FO"/>
        </w:rPr>
        <w:t xml:space="preserve"> ongin</w:t>
      </w:r>
      <w:r w:rsidR="000C7D8F">
        <w:rPr>
          <w:szCs w:val="24"/>
          <w:lang w:val="fo-FO"/>
        </w:rPr>
        <w:t xml:space="preserve"> stórvegis</w:t>
      </w:r>
      <w:r>
        <w:rPr>
          <w:szCs w:val="24"/>
          <w:lang w:val="fo-FO"/>
        </w:rPr>
        <w:t xml:space="preserve"> vansi er við </w:t>
      </w:r>
      <w:r w:rsidR="00DD3F8F">
        <w:rPr>
          <w:szCs w:val="24"/>
          <w:lang w:val="fo-FO"/>
        </w:rPr>
        <w:t xml:space="preserve">at </w:t>
      </w:r>
      <w:r>
        <w:rPr>
          <w:szCs w:val="24"/>
          <w:lang w:val="fo-FO"/>
        </w:rPr>
        <w:t xml:space="preserve">økja talið av </w:t>
      </w:r>
      <w:r w:rsidR="0048433C">
        <w:rPr>
          <w:szCs w:val="24"/>
          <w:lang w:val="fo-FO"/>
        </w:rPr>
        <w:t xml:space="preserve">fyribils </w:t>
      </w:r>
      <w:r>
        <w:rPr>
          <w:szCs w:val="24"/>
          <w:lang w:val="fo-FO"/>
        </w:rPr>
        <w:t>uppihaldsloyvum úr 200 upp í 250</w:t>
      </w:r>
      <w:r w:rsidR="00433133">
        <w:rPr>
          <w:szCs w:val="24"/>
          <w:lang w:val="fo-FO"/>
        </w:rPr>
        <w:t>.</w:t>
      </w:r>
      <w:r w:rsidR="000C7D8F" w:rsidRPr="000C7D8F">
        <w:rPr>
          <w:szCs w:val="24"/>
          <w:lang w:val="fo-FO"/>
        </w:rPr>
        <w:t xml:space="preserve"> </w:t>
      </w:r>
    </w:p>
    <w:p w14:paraId="7AA8BE3D" w14:textId="77777777" w:rsidR="00BF46D7" w:rsidRPr="001E79A2" w:rsidRDefault="00BF46D7" w:rsidP="00B05B61">
      <w:pPr>
        <w:spacing w:after="0" w:line="240" w:lineRule="auto"/>
        <w:jc w:val="both"/>
        <w:rPr>
          <w:bCs/>
          <w:szCs w:val="24"/>
          <w:lang w:val="fo-FO"/>
        </w:rPr>
      </w:pPr>
    </w:p>
    <w:p w14:paraId="28668378" w14:textId="77777777" w:rsidR="001E79A2" w:rsidRPr="001E79A2" w:rsidRDefault="001E79A2" w:rsidP="00B05B61">
      <w:pPr>
        <w:spacing w:after="0" w:line="240" w:lineRule="auto"/>
        <w:jc w:val="both"/>
        <w:rPr>
          <w:bCs/>
          <w:szCs w:val="24"/>
          <w:lang w:val="fo-FO"/>
        </w:rPr>
      </w:pPr>
    </w:p>
    <w:p w14:paraId="36973527" w14:textId="77777777" w:rsidR="00BF46D7" w:rsidRPr="00BF46D7" w:rsidRDefault="00BF46D7" w:rsidP="00B05B61">
      <w:pPr>
        <w:spacing w:after="0" w:line="240" w:lineRule="auto"/>
        <w:rPr>
          <w:b/>
          <w:szCs w:val="24"/>
          <w:lang w:val="fo-FO"/>
        </w:rPr>
      </w:pPr>
      <w:r w:rsidRPr="00BF46D7">
        <w:rPr>
          <w:b/>
          <w:szCs w:val="24"/>
          <w:lang w:val="fo-FO"/>
        </w:rPr>
        <w:t>1.5. Ummæli og ummælisskjal</w:t>
      </w:r>
    </w:p>
    <w:p w14:paraId="3518760E" w14:textId="226434A4" w:rsidR="005E32AA" w:rsidRDefault="005E32AA" w:rsidP="00B05B61">
      <w:pPr>
        <w:spacing w:after="0" w:line="240" w:lineRule="auto"/>
        <w:jc w:val="both"/>
        <w:rPr>
          <w:szCs w:val="24"/>
          <w:lang w:val="fo-FO"/>
        </w:rPr>
      </w:pPr>
      <w:r w:rsidRPr="005F2262">
        <w:rPr>
          <w:szCs w:val="24"/>
          <w:lang w:val="fo-FO"/>
        </w:rPr>
        <w:t>Lógaruppskotið</w:t>
      </w:r>
      <w:r w:rsidR="00531C3A">
        <w:rPr>
          <w:szCs w:val="24"/>
          <w:lang w:val="fo-FO"/>
        </w:rPr>
        <w:t xml:space="preserve"> verður sent til</w:t>
      </w:r>
      <w:r w:rsidRPr="005F2262">
        <w:rPr>
          <w:szCs w:val="24"/>
          <w:lang w:val="fo-FO"/>
        </w:rPr>
        <w:t xml:space="preserve"> </w:t>
      </w:r>
      <w:r w:rsidR="005215C7" w:rsidRPr="005F2262">
        <w:rPr>
          <w:szCs w:val="24"/>
          <w:lang w:val="fo-FO"/>
        </w:rPr>
        <w:t xml:space="preserve">ummælis </w:t>
      </w:r>
      <w:r w:rsidRPr="005F2262">
        <w:rPr>
          <w:szCs w:val="24"/>
          <w:lang w:val="fo-FO"/>
        </w:rPr>
        <w:t>hjá</w:t>
      </w:r>
      <w:r w:rsidR="00745DC7" w:rsidRPr="005F2262">
        <w:rPr>
          <w:szCs w:val="24"/>
          <w:lang w:val="fo-FO"/>
        </w:rPr>
        <w:t xml:space="preserve"> Almanna</w:t>
      </w:r>
      <w:r w:rsidR="00651544" w:rsidRPr="005F2262">
        <w:rPr>
          <w:szCs w:val="24"/>
          <w:lang w:val="fo-FO"/>
        </w:rPr>
        <w:t>- og menta</w:t>
      </w:r>
      <w:r w:rsidR="00745DC7" w:rsidRPr="005F2262">
        <w:rPr>
          <w:szCs w:val="24"/>
          <w:lang w:val="fo-FO"/>
        </w:rPr>
        <w:t>málaráð</w:t>
      </w:r>
      <w:r w:rsidR="00355C47" w:rsidRPr="005F2262">
        <w:rPr>
          <w:szCs w:val="24"/>
          <w:lang w:val="fo-FO"/>
        </w:rPr>
        <w:t>num</w:t>
      </w:r>
      <w:r w:rsidR="00745DC7" w:rsidRPr="005F2262">
        <w:rPr>
          <w:szCs w:val="24"/>
          <w:lang w:val="fo-FO"/>
        </w:rPr>
        <w:t>, Heilsumálaráð</w:t>
      </w:r>
      <w:r w:rsidR="00355C47" w:rsidRPr="005F2262">
        <w:rPr>
          <w:szCs w:val="24"/>
          <w:lang w:val="fo-FO"/>
        </w:rPr>
        <w:t>num</w:t>
      </w:r>
      <w:r w:rsidR="00745DC7" w:rsidRPr="005F2262">
        <w:rPr>
          <w:szCs w:val="24"/>
          <w:lang w:val="fo-FO"/>
        </w:rPr>
        <w:t>, Kommunufelag</w:t>
      </w:r>
      <w:r w:rsidR="00355C47" w:rsidRPr="005F2262">
        <w:rPr>
          <w:szCs w:val="24"/>
          <w:lang w:val="fo-FO"/>
        </w:rPr>
        <w:t>num</w:t>
      </w:r>
      <w:r w:rsidR="00745DC7" w:rsidRPr="005F2262">
        <w:rPr>
          <w:szCs w:val="24"/>
          <w:lang w:val="fo-FO"/>
        </w:rPr>
        <w:t>, Almannaverki</w:t>
      </w:r>
      <w:r w:rsidR="00355C47" w:rsidRPr="005F2262">
        <w:rPr>
          <w:szCs w:val="24"/>
          <w:lang w:val="fo-FO"/>
        </w:rPr>
        <w:t>num</w:t>
      </w:r>
      <w:r w:rsidR="00745DC7" w:rsidRPr="005F2262">
        <w:rPr>
          <w:szCs w:val="24"/>
          <w:lang w:val="fo-FO"/>
        </w:rPr>
        <w:t>,</w:t>
      </w:r>
      <w:r w:rsidRPr="005F2262">
        <w:rPr>
          <w:szCs w:val="24"/>
          <w:lang w:val="fo-FO"/>
        </w:rPr>
        <w:t xml:space="preserve"> Útlendingastovuni, </w:t>
      </w:r>
      <w:r w:rsidR="00745DC7" w:rsidRPr="005F2262">
        <w:rPr>
          <w:szCs w:val="24"/>
          <w:lang w:val="fo-FO"/>
        </w:rPr>
        <w:t>Undirvísingarstýrinum, Barnaverndarstovuni, Familjufyrisitingini, ALS,</w:t>
      </w:r>
      <w:r w:rsidRPr="005F2262">
        <w:rPr>
          <w:szCs w:val="24"/>
          <w:lang w:val="fo-FO"/>
        </w:rPr>
        <w:t xml:space="preserve"> </w:t>
      </w:r>
      <w:r w:rsidR="00651544" w:rsidRPr="005F2262">
        <w:rPr>
          <w:szCs w:val="24"/>
          <w:lang w:val="fo-FO"/>
        </w:rPr>
        <w:t>Heils</w:t>
      </w:r>
      <w:r w:rsidR="00355C47" w:rsidRPr="005F2262">
        <w:rPr>
          <w:szCs w:val="24"/>
          <w:lang w:val="fo-FO"/>
        </w:rPr>
        <w:t>utrygd,</w:t>
      </w:r>
      <w:r w:rsidR="00651544" w:rsidRPr="005F2262">
        <w:rPr>
          <w:szCs w:val="24"/>
          <w:lang w:val="fo-FO"/>
        </w:rPr>
        <w:t xml:space="preserve"> Tórshavnar kommunu</w:t>
      </w:r>
      <w:r w:rsidR="005215C7" w:rsidRPr="005F2262">
        <w:rPr>
          <w:szCs w:val="24"/>
          <w:lang w:val="fo-FO"/>
        </w:rPr>
        <w:t>,</w:t>
      </w:r>
      <w:r w:rsidR="00E33116">
        <w:rPr>
          <w:szCs w:val="24"/>
          <w:lang w:val="fo-FO"/>
        </w:rPr>
        <w:t xml:space="preserve"> Klaksvíkar kommunu, Nes kommunu, Runavíkar kommunu, Sands kommunu, Tvøroyrar kommunu, Vágs kommunu, </w:t>
      </w:r>
      <w:r w:rsidR="005215C7" w:rsidRPr="005F2262">
        <w:rPr>
          <w:szCs w:val="24"/>
          <w:lang w:val="fo-FO"/>
        </w:rPr>
        <w:t>Reyða Krossi, Føroya Lærarafelag, Føroya Pedagogfelag, Sernám, Nám</w:t>
      </w:r>
      <w:r w:rsidR="00D83A47">
        <w:rPr>
          <w:szCs w:val="24"/>
          <w:lang w:val="fo-FO"/>
        </w:rPr>
        <w:t xml:space="preserve"> og</w:t>
      </w:r>
      <w:r w:rsidR="005215C7" w:rsidRPr="005F2262">
        <w:rPr>
          <w:szCs w:val="24"/>
          <w:lang w:val="fo-FO"/>
        </w:rPr>
        <w:t xml:space="preserve"> </w:t>
      </w:r>
      <w:r w:rsidR="00651544" w:rsidRPr="005F2262">
        <w:rPr>
          <w:szCs w:val="24"/>
          <w:lang w:val="fo-FO"/>
        </w:rPr>
        <w:t>Vinnuhúsinum</w:t>
      </w:r>
      <w:r w:rsidR="00D83A47">
        <w:rPr>
          <w:szCs w:val="24"/>
          <w:lang w:val="fo-FO"/>
        </w:rPr>
        <w:t>.</w:t>
      </w:r>
      <w:r w:rsidR="005215C7" w:rsidRPr="005F2262">
        <w:rPr>
          <w:szCs w:val="24"/>
          <w:lang w:val="fo-FO"/>
        </w:rPr>
        <w:t xml:space="preserve"> </w:t>
      </w:r>
    </w:p>
    <w:p w14:paraId="4BC15D2C" w14:textId="77777777" w:rsidR="005F2262" w:rsidRDefault="005F2262" w:rsidP="00B05B61">
      <w:pPr>
        <w:spacing w:after="0" w:line="240" w:lineRule="auto"/>
        <w:jc w:val="both"/>
        <w:rPr>
          <w:szCs w:val="24"/>
          <w:lang w:val="fo-FO"/>
        </w:rPr>
      </w:pPr>
    </w:p>
    <w:p w14:paraId="7671804F" w14:textId="662184C6" w:rsidR="005F2262" w:rsidRPr="00C65F7D" w:rsidRDefault="005F2262" w:rsidP="00B05B61">
      <w:pPr>
        <w:spacing w:after="0" w:line="240" w:lineRule="auto"/>
        <w:jc w:val="both"/>
        <w:rPr>
          <w:szCs w:val="24"/>
          <w:lang w:val="fo-FO"/>
        </w:rPr>
      </w:pPr>
      <w:r w:rsidRPr="00C65F7D">
        <w:rPr>
          <w:szCs w:val="24"/>
          <w:lang w:val="fo-FO"/>
        </w:rPr>
        <w:t xml:space="preserve">Harumframt </w:t>
      </w:r>
      <w:r w:rsidR="00D83A47">
        <w:rPr>
          <w:szCs w:val="24"/>
          <w:lang w:val="fo-FO"/>
        </w:rPr>
        <w:t>verður</w:t>
      </w:r>
      <w:r w:rsidRPr="00C65F7D">
        <w:rPr>
          <w:szCs w:val="24"/>
          <w:lang w:val="fo-FO"/>
        </w:rPr>
        <w:t xml:space="preserve"> lógaruppskotið l</w:t>
      </w:r>
      <w:r w:rsidR="00D83A47">
        <w:rPr>
          <w:szCs w:val="24"/>
          <w:lang w:val="fo-FO"/>
        </w:rPr>
        <w:t>agt</w:t>
      </w:r>
      <w:r w:rsidRPr="00C65F7D">
        <w:rPr>
          <w:szCs w:val="24"/>
          <w:lang w:val="fo-FO"/>
        </w:rPr>
        <w:t xml:space="preserve"> alment </w:t>
      </w:r>
      <w:r w:rsidR="00D83A47" w:rsidRPr="00C65F7D">
        <w:rPr>
          <w:szCs w:val="24"/>
          <w:lang w:val="fo-FO"/>
        </w:rPr>
        <w:t>fram</w:t>
      </w:r>
      <w:r w:rsidRPr="00C65F7D">
        <w:rPr>
          <w:szCs w:val="24"/>
          <w:lang w:val="fo-FO"/>
        </w:rPr>
        <w:t xml:space="preserve"> til</w:t>
      </w:r>
      <w:r w:rsidR="00DA7A8C" w:rsidRPr="00C65F7D">
        <w:rPr>
          <w:szCs w:val="24"/>
          <w:lang w:val="fo-FO"/>
        </w:rPr>
        <w:t xml:space="preserve"> møguligar</w:t>
      </w:r>
      <w:r w:rsidRPr="00C65F7D">
        <w:rPr>
          <w:szCs w:val="24"/>
          <w:lang w:val="fo-FO"/>
        </w:rPr>
        <w:t xml:space="preserve"> viðmerkingar á heimasíðuni hjá Løgmálaráðnum.</w:t>
      </w:r>
    </w:p>
    <w:p w14:paraId="71304204" w14:textId="77777777" w:rsidR="005E32AA" w:rsidRPr="00C65F7D" w:rsidRDefault="005E32AA" w:rsidP="00B05B61">
      <w:pPr>
        <w:spacing w:after="0" w:line="240" w:lineRule="auto"/>
        <w:jc w:val="both"/>
        <w:rPr>
          <w:szCs w:val="24"/>
          <w:lang w:val="fo-FO"/>
        </w:rPr>
      </w:pPr>
    </w:p>
    <w:p w14:paraId="3A0271C0" w14:textId="77777777" w:rsidR="005215C7" w:rsidRDefault="005215C7" w:rsidP="00B05B61">
      <w:pPr>
        <w:spacing w:after="0" w:line="240" w:lineRule="auto"/>
        <w:jc w:val="both"/>
        <w:rPr>
          <w:szCs w:val="24"/>
          <w:lang w:val="fo-FO"/>
        </w:rPr>
      </w:pPr>
    </w:p>
    <w:p w14:paraId="39C73AC4" w14:textId="77777777" w:rsidR="00BF46D7" w:rsidRPr="00BF46D7" w:rsidRDefault="00BF46D7" w:rsidP="00B05B61">
      <w:pPr>
        <w:spacing w:after="0" w:line="240" w:lineRule="auto"/>
        <w:jc w:val="both"/>
        <w:rPr>
          <w:szCs w:val="24"/>
          <w:lang w:val="fo-FO"/>
        </w:rPr>
      </w:pPr>
    </w:p>
    <w:p w14:paraId="2B26364A" w14:textId="77777777" w:rsidR="00BF46D7" w:rsidRPr="00BF46D7" w:rsidRDefault="00BF46D7" w:rsidP="00B05B61">
      <w:pPr>
        <w:spacing w:after="0" w:line="240" w:lineRule="auto"/>
        <w:jc w:val="both"/>
        <w:rPr>
          <w:szCs w:val="24"/>
          <w:lang w:val="fo-FO"/>
        </w:rPr>
      </w:pPr>
      <w:r w:rsidRPr="00BF46D7">
        <w:rPr>
          <w:szCs w:val="24"/>
          <w:lang w:val="fo-FO"/>
        </w:rPr>
        <w:br w:type="page"/>
      </w:r>
    </w:p>
    <w:p w14:paraId="73FD7A7D" w14:textId="77777777" w:rsidR="00BF46D7" w:rsidRPr="00BF46D7" w:rsidRDefault="00BF46D7" w:rsidP="00B05B61">
      <w:pPr>
        <w:spacing w:after="0" w:line="240" w:lineRule="auto"/>
        <w:rPr>
          <w:b/>
          <w:szCs w:val="24"/>
          <w:lang w:val="fo-FO"/>
        </w:rPr>
      </w:pPr>
      <w:r w:rsidRPr="00BF46D7">
        <w:rPr>
          <w:b/>
          <w:szCs w:val="24"/>
          <w:lang w:val="fo-FO"/>
        </w:rPr>
        <w:lastRenderedPageBreak/>
        <w:t>Kapittul 2. Avleiðingarnar av uppskotinum</w:t>
      </w:r>
    </w:p>
    <w:p w14:paraId="5E5103CC" w14:textId="77777777" w:rsidR="00BF46D7" w:rsidRPr="00513F28" w:rsidRDefault="00BF46D7" w:rsidP="00B05B61">
      <w:pPr>
        <w:spacing w:after="0" w:line="240" w:lineRule="auto"/>
        <w:jc w:val="both"/>
        <w:rPr>
          <w:szCs w:val="24"/>
          <w:lang w:val="fo-FO"/>
        </w:rPr>
      </w:pPr>
    </w:p>
    <w:p w14:paraId="650B82A6" w14:textId="77777777" w:rsidR="00BF46D7" w:rsidRPr="00BF46D7" w:rsidRDefault="00BF46D7" w:rsidP="00B05B61">
      <w:pPr>
        <w:spacing w:after="0" w:line="240" w:lineRule="auto"/>
        <w:jc w:val="both"/>
        <w:rPr>
          <w:szCs w:val="24"/>
          <w:lang w:val="fo-FO"/>
        </w:rPr>
      </w:pPr>
    </w:p>
    <w:p w14:paraId="059FF678" w14:textId="77777777" w:rsidR="00BF46D7" w:rsidRPr="00BF46D7" w:rsidRDefault="00BF46D7" w:rsidP="00B05B61">
      <w:pPr>
        <w:spacing w:after="0" w:line="240" w:lineRule="auto"/>
        <w:rPr>
          <w:b/>
          <w:szCs w:val="24"/>
          <w:lang w:val="fo-FO"/>
        </w:rPr>
      </w:pPr>
      <w:r w:rsidRPr="00BF46D7">
        <w:rPr>
          <w:b/>
          <w:szCs w:val="24"/>
          <w:lang w:val="fo-FO"/>
        </w:rPr>
        <w:t>2.1. Fíggjarligar avleiðingar fyri land og kommunur</w:t>
      </w:r>
    </w:p>
    <w:p w14:paraId="3B271D32" w14:textId="1837A96E" w:rsidR="00FD54F0" w:rsidRDefault="00FD54F0" w:rsidP="00B05B61">
      <w:pPr>
        <w:spacing w:after="0" w:line="240" w:lineRule="auto"/>
        <w:jc w:val="both"/>
        <w:rPr>
          <w:szCs w:val="24"/>
          <w:lang w:val="fo-FO"/>
        </w:rPr>
      </w:pPr>
      <w:r>
        <w:rPr>
          <w:szCs w:val="24"/>
          <w:lang w:val="fo-FO"/>
        </w:rPr>
        <w:t>Uppskotið</w:t>
      </w:r>
      <w:r w:rsidR="00E3013D">
        <w:rPr>
          <w:szCs w:val="24"/>
          <w:lang w:val="fo-FO"/>
        </w:rPr>
        <w:t xml:space="preserve"> kann væntast at hava ávísar</w:t>
      </w:r>
      <w:r>
        <w:rPr>
          <w:szCs w:val="24"/>
          <w:lang w:val="fo-FO"/>
        </w:rPr>
        <w:t xml:space="preserve"> fíggjarligar avleiðingar fyri land og kommunur.</w:t>
      </w:r>
    </w:p>
    <w:p w14:paraId="38D53946" w14:textId="77777777" w:rsidR="00C36A47" w:rsidRDefault="00C36A47" w:rsidP="00B05B61">
      <w:pPr>
        <w:spacing w:after="0" w:line="240" w:lineRule="auto"/>
        <w:jc w:val="both"/>
        <w:rPr>
          <w:szCs w:val="24"/>
          <w:lang w:val="fo-FO"/>
        </w:rPr>
      </w:pPr>
    </w:p>
    <w:p w14:paraId="173A61CC" w14:textId="0DC75256" w:rsidR="00A71455" w:rsidRDefault="00FD54F0" w:rsidP="00B05B61">
      <w:pPr>
        <w:spacing w:after="0" w:line="240" w:lineRule="auto"/>
        <w:jc w:val="both"/>
        <w:rPr>
          <w:szCs w:val="24"/>
          <w:lang w:val="fo-FO"/>
        </w:rPr>
      </w:pPr>
      <w:r>
        <w:rPr>
          <w:szCs w:val="24"/>
          <w:lang w:val="fo-FO"/>
        </w:rPr>
        <w:t xml:space="preserve">Tað er </w:t>
      </w:r>
      <w:r w:rsidR="00FC61CA">
        <w:rPr>
          <w:szCs w:val="24"/>
          <w:lang w:val="fo-FO"/>
        </w:rPr>
        <w:t>ilt at siga</w:t>
      </w:r>
      <w:r>
        <w:rPr>
          <w:szCs w:val="24"/>
          <w:lang w:val="fo-FO"/>
        </w:rPr>
        <w:t xml:space="preserve">, hvussu nógvir </w:t>
      </w:r>
      <w:r w:rsidR="00C36A47">
        <w:rPr>
          <w:szCs w:val="24"/>
          <w:lang w:val="fo-FO"/>
        </w:rPr>
        <w:t xml:space="preserve">av teimum </w:t>
      </w:r>
      <w:r>
        <w:rPr>
          <w:szCs w:val="24"/>
          <w:lang w:val="fo-FO"/>
        </w:rPr>
        <w:t>50</w:t>
      </w:r>
      <w:r w:rsidR="00C36A47">
        <w:rPr>
          <w:szCs w:val="24"/>
          <w:lang w:val="fo-FO"/>
        </w:rPr>
        <w:t xml:space="preserve"> persónunum</w:t>
      </w:r>
      <w:r w:rsidR="000D4FB5">
        <w:rPr>
          <w:szCs w:val="24"/>
          <w:lang w:val="fo-FO"/>
        </w:rPr>
        <w:t xml:space="preserve">, sum </w:t>
      </w:r>
      <w:r w:rsidR="00A03CDE">
        <w:rPr>
          <w:szCs w:val="24"/>
          <w:lang w:val="fo-FO"/>
        </w:rPr>
        <w:t>eftir ætlan</w:t>
      </w:r>
      <w:r w:rsidR="000D4FB5">
        <w:rPr>
          <w:szCs w:val="24"/>
          <w:lang w:val="fo-FO"/>
        </w:rPr>
        <w:t xml:space="preserve"> skulu fáa</w:t>
      </w:r>
      <w:r>
        <w:rPr>
          <w:szCs w:val="24"/>
          <w:lang w:val="fo-FO"/>
        </w:rPr>
        <w:t xml:space="preserve"> fyribils uppihaldsloyvi eftir lógini</w:t>
      </w:r>
      <w:r w:rsidR="000D4FB5">
        <w:rPr>
          <w:szCs w:val="24"/>
          <w:lang w:val="fo-FO"/>
        </w:rPr>
        <w:t xml:space="preserve"> afturat,</w:t>
      </w:r>
      <w:r w:rsidR="00C36A47">
        <w:rPr>
          <w:szCs w:val="24"/>
          <w:lang w:val="fo-FO"/>
        </w:rPr>
        <w:t xml:space="preserve"> eru arbeiðsfør</w:t>
      </w:r>
      <w:r w:rsidR="00FC61CA">
        <w:rPr>
          <w:szCs w:val="24"/>
          <w:lang w:val="fo-FO"/>
        </w:rPr>
        <w:t>ir</w:t>
      </w:r>
      <w:r w:rsidR="00C36A47">
        <w:rPr>
          <w:szCs w:val="24"/>
          <w:lang w:val="fo-FO"/>
        </w:rPr>
        <w:t xml:space="preserve"> og í arbeiðsførum aldri og kunnu fara til arbeiðis</w:t>
      </w:r>
      <w:r w:rsidR="004809E9">
        <w:rPr>
          <w:szCs w:val="24"/>
          <w:lang w:val="fo-FO"/>
        </w:rPr>
        <w:t xml:space="preserve"> og uppihalda sær sjálvum</w:t>
      </w:r>
      <w:r w:rsidR="00C36A47">
        <w:rPr>
          <w:szCs w:val="24"/>
          <w:lang w:val="fo-FO"/>
        </w:rPr>
        <w:t>, meðan te</w:t>
      </w:r>
      <w:r w:rsidR="00FC61CA">
        <w:rPr>
          <w:szCs w:val="24"/>
          <w:lang w:val="fo-FO"/>
        </w:rPr>
        <w:t>ir</w:t>
      </w:r>
      <w:r w:rsidR="00C36A47">
        <w:rPr>
          <w:szCs w:val="24"/>
          <w:lang w:val="fo-FO"/>
        </w:rPr>
        <w:t xml:space="preserve"> eru í Føroyum.</w:t>
      </w:r>
      <w:r w:rsidR="00FC61CA">
        <w:rPr>
          <w:szCs w:val="24"/>
          <w:lang w:val="fo-FO"/>
        </w:rPr>
        <w:t xml:space="preserve"> </w:t>
      </w:r>
    </w:p>
    <w:p w14:paraId="1D66D0D4" w14:textId="77777777" w:rsidR="00A71455" w:rsidRDefault="00A71455" w:rsidP="00B05B61">
      <w:pPr>
        <w:spacing w:after="0" w:line="240" w:lineRule="auto"/>
        <w:jc w:val="both"/>
        <w:rPr>
          <w:szCs w:val="24"/>
          <w:lang w:val="fo-FO"/>
        </w:rPr>
      </w:pPr>
    </w:p>
    <w:p w14:paraId="0694B92F" w14:textId="32AE5A6D" w:rsidR="00A71455" w:rsidRDefault="00A71455" w:rsidP="00B05B61">
      <w:pPr>
        <w:spacing w:after="0" w:line="240" w:lineRule="auto"/>
        <w:jc w:val="both"/>
        <w:rPr>
          <w:szCs w:val="24"/>
          <w:lang w:val="fo-FO"/>
        </w:rPr>
      </w:pPr>
      <w:r>
        <w:rPr>
          <w:szCs w:val="24"/>
          <w:lang w:val="fo-FO"/>
        </w:rPr>
        <w:t xml:space="preserve">Viðvíkjandi undirvísing, so eiga tey flóttabørn, sum </w:t>
      </w:r>
      <w:r w:rsidR="00E3013D">
        <w:rPr>
          <w:szCs w:val="24"/>
          <w:lang w:val="fo-FO"/>
        </w:rPr>
        <w:t xml:space="preserve">møguliga </w:t>
      </w:r>
      <w:r>
        <w:rPr>
          <w:szCs w:val="24"/>
          <w:lang w:val="fo-FO"/>
        </w:rPr>
        <w:t>koma til Føroyar</w:t>
      </w:r>
      <w:r w:rsidR="00E3013D">
        <w:rPr>
          <w:szCs w:val="24"/>
          <w:lang w:val="fo-FO"/>
        </w:rPr>
        <w:t xml:space="preserve"> afturat</w:t>
      </w:r>
      <w:r>
        <w:rPr>
          <w:szCs w:val="24"/>
          <w:lang w:val="fo-FO"/>
        </w:rPr>
        <w:t xml:space="preserve">, </w:t>
      </w:r>
      <w:r w:rsidR="00C36A47" w:rsidRPr="00C36A47">
        <w:rPr>
          <w:szCs w:val="24"/>
          <w:lang w:val="fo-FO"/>
        </w:rPr>
        <w:t>skjótast gjørligt fáa møguleika at fara í skúla.</w:t>
      </w:r>
      <w:r w:rsidR="00FC61CA">
        <w:rPr>
          <w:szCs w:val="24"/>
          <w:lang w:val="fo-FO"/>
        </w:rPr>
        <w:t xml:space="preserve"> Móttøkuflokkar til flóttabørn eru longu innan fólkaskúlan, so tað </w:t>
      </w:r>
      <w:r>
        <w:rPr>
          <w:szCs w:val="24"/>
          <w:lang w:val="fo-FO"/>
        </w:rPr>
        <w:t xml:space="preserve">fer neyvan at fáa teir stóru fíggjarligu avleiðingarnar fyri fólkaskúlan, um nøkur </w:t>
      </w:r>
      <w:r w:rsidR="00FC61CA">
        <w:rPr>
          <w:szCs w:val="24"/>
          <w:lang w:val="fo-FO"/>
        </w:rPr>
        <w:t xml:space="preserve">flóttabørn </w:t>
      </w:r>
      <w:r>
        <w:rPr>
          <w:szCs w:val="24"/>
          <w:lang w:val="fo-FO"/>
        </w:rPr>
        <w:t xml:space="preserve">koma afturat. </w:t>
      </w:r>
      <w:r w:rsidRPr="00A71455">
        <w:rPr>
          <w:szCs w:val="24"/>
          <w:lang w:val="fo-FO"/>
        </w:rPr>
        <w:t>Undirvísingarstýrið upplýsti í desembur 2023, at 24 ukrainsk flóttabørn ganga í fólkaskúlanum</w:t>
      </w:r>
      <w:r>
        <w:rPr>
          <w:szCs w:val="24"/>
          <w:lang w:val="fo-FO"/>
        </w:rPr>
        <w:t>.</w:t>
      </w:r>
    </w:p>
    <w:p w14:paraId="5C07AEF9" w14:textId="77777777" w:rsidR="00A71455" w:rsidRDefault="00A71455" w:rsidP="00B05B61">
      <w:pPr>
        <w:spacing w:after="0" w:line="240" w:lineRule="auto"/>
        <w:jc w:val="both"/>
        <w:rPr>
          <w:szCs w:val="24"/>
          <w:lang w:val="fo-FO"/>
        </w:rPr>
      </w:pPr>
    </w:p>
    <w:p w14:paraId="2A32E244" w14:textId="65CFCF61" w:rsidR="00A71455" w:rsidRDefault="00FC61CA" w:rsidP="00B05B61">
      <w:pPr>
        <w:spacing w:after="0" w:line="240" w:lineRule="auto"/>
        <w:jc w:val="both"/>
        <w:rPr>
          <w:szCs w:val="24"/>
          <w:lang w:val="fo-FO"/>
        </w:rPr>
      </w:pPr>
      <w:r>
        <w:rPr>
          <w:szCs w:val="24"/>
          <w:lang w:val="fo-FO"/>
        </w:rPr>
        <w:t xml:space="preserve">Kvøldskúlin hevur longu málskúla fyri ukrainsku flóttafólkunum, og heldur ikki her kann roknast við, at uppskotið fer at hava teir stóru fíggjarligu </w:t>
      </w:r>
      <w:r w:rsidR="00A71455">
        <w:rPr>
          <w:szCs w:val="24"/>
          <w:lang w:val="fo-FO"/>
        </w:rPr>
        <w:t xml:space="preserve">avleiðingarnar. Undirvísingarstýrið upplýsti í desembur 2023, at </w:t>
      </w:r>
      <w:r w:rsidR="00A71455" w:rsidRPr="00A71455">
        <w:rPr>
          <w:szCs w:val="24"/>
          <w:lang w:val="fo-FO"/>
        </w:rPr>
        <w:t>17 ukrainsk flóttafólk g</w:t>
      </w:r>
      <w:r w:rsidR="00A71455">
        <w:rPr>
          <w:szCs w:val="24"/>
          <w:lang w:val="fo-FO"/>
        </w:rPr>
        <w:t>ingu</w:t>
      </w:r>
      <w:r w:rsidR="00A71455" w:rsidRPr="00A71455">
        <w:rPr>
          <w:szCs w:val="24"/>
          <w:lang w:val="fo-FO"/>
        </w:rPr>
        <w:t xml:space="preserve"> í Kvøldskúlanum fyri at læra føroyskt og 12 koma afturat í januar 2024.</w:t>
      </w:r>
    </w:p>
    <w:p w14:paraId="7944E0C3" w14:textId="77777777" w:rsidR="00A71455" w:rsidRDefault="00A71455" w:rsidP="00B05B61">
      <w:pPr>
        <w:spacing w:after="0" w:line="240" w:lineRule="auto"/>
        <w:jc w:val="both"/>
        <w:rPr>
          <w:szCs w:val="24"/>
          <w:lang w:val="fo-FO"/>
        </w:rPr>
      </w:pPr>
    </w:p>
    <w:p w14:paraId="1EB7E23D" w14:textId="473008E7" w:rsidR="00A71455" w:rsidRDefault="00A71455" w:rsidP="00B05B61">
      <w:pPr>
        <w:spacing w:after="0" w:line="240" w:lineRule="auto"/>
        <w:jc w:val="both"/>
        <w:rPr>
          <w:szCs w:val="24"/>
          <w:lang w:val="fo-FO"/>
        </w:rPr>
      </w:pPr>
      <w:r>
        <w:rPr>
          <w:szCs w:val="24"/>
          <w:lang w:val="fo-FO"/>
        </w:rPr>
        <w:t>Viðvíkjandi almannaveitingu</w:t>
      </w:r>
      <w:r w:rsidR="00F76579">
        <w:rPr>
          <w:szCs w:val="24"/>
          <w:lang w:val="fo-FO"/>
        </w:rPr>
        <w:t>m, so fáa tey flóttafólk</w:t>
      </w:r>
      <w:r w:rsidR="00C36A47" w:rsidRPr="00C36A47">
        <w:rPr>
          <w:szCs w:val="24"/>
          <w:lang w:val="fo-FO"/>
        </w:rPr>
        <w:t xml:space="preserve">, sum ikki hava møguleika at </w:t>
      </w:r>
      <w:r w:rsidR="004809E9">
        <w:rPr>
          <w:szCs w:val="24"/>
          <w:lang w:val="fo-FO"/>
        </w:rPr>
        <w:t>uppihalda</w:t>
      </w:r>
      <w:r w:rsidR="00C36A47" w:rsidRPr="00C36A47">
        <w:rPr>
          <w:szCs w:val="24"/>
          <w:lang w:val="fo-FO"/>
        </w:rPr>
        <w:t xml:space="preserve"> sær sjálvum,</w:t>
      </w:r>
      <w:r w:rsidR="004809E9">
        <w:rPr>
          <w:szCs w:val="24"/>
          <w:lang w:val="fo-FO"/>
        </w:rPr>
        <w:t xml:space="preserve"> </w:t>
      </w:r>
      <w:r w:rsidR="00C36A47" w:rsidRPr="00C36A47">
        <w:rPr>
          <w:szCs w:val="24"/>
          <w:lang w:val="fo-FO"/>
        </w:rPr>
        <w:t>eina almannaveiting.</w:t>
      </w:r>
      <w:r>
        <w:rPr>
          <w:szCs w:val="24"/>
          <w:lang w:val="fo-FO"/>
        </w:rPr>
        <w:t xml:space="preserve"> Her kann roknast við eini eyka útreiðslu, tí tað hevur víst seg, at fleiri av teimum ukrainsku flóttafólkunum, sum </w:t>
      </w:r>
      <w:r w:rsidR="00F76579">
        <w:rPr>
          <w:szCs w:val="24"/>
          <w:lang w:val="fo-FO"/>
        </w:rPr>
        <w:t xml:space="preserve">higartil </w:t>
      </w:r>
      <w:r>
        <w:rPr>
          <w:szCs w:val="24"/>
          <w:lang w:val="fo-FO"/>
        </w:rPr>
        <w:t xml:space="preserve">hava fingið </w:t>
      </w:r>
      <w:r w:rsidR="008F4342">
        <w:rPr>
          <w:szCs w:val="24"/>
          <w:lang w:val="fo-FO"/>
        </w:rPr>
        <w:t xml:space="preserve">fyribils </w:t>
      </w:r>
      <w:r>
        <w:rPr>
          <w:szCs w:val="24"/>
          <w:lang w:val="fo-FO"/>
        </w:rPr>
        <w:t>uppihaldsloyvi í Føroyum, fáa veitingar frá Almannaverkinum.</w:t>
      </w:r>
      <w:r w:rsidR="00F76579">
        <w:rPr>
          <w:szCs w:val="24"/>
          <w:lang w:val="fo-FO"/>
        </w:rPr>
        <w:t xml:space="preserve"> </w:t>
      </w:r>
      <w:r w:rsidRPr="00A71455">
        <w:rPr>
          <w:szCs w:val="24"/>
          <w:lang w:val="fo-FO"/>
        </w:rPr>
        <w:t>Almannaverkið upplýsti í desembur 2023, at Almannaverkið hevði 60 mál við ukrainskum flóttafólkum, sum antin fingu fulla veiting ella ískoyti frá Almannaverkinum.</w:t>
      </w:r>
      <w:r w:rsidR="00F76579">
        <w:rPr>
          <w:szCs w:val="24"/>
          <w:lang w:val="fo-FO"/>
        </w:rPr>
        <w:t xml:space="preserve"> </w:t>
      </w:r>
      <w:r w:rsidRPr="00A71455">
        <w:rPr>
          <w:szCs w:val="24"/>
          <w:lang w:val="fo-FO"/>
        </w:rPr>
        <w:t xml:space="preserve">Talið </w:t>
      </w:r>
      <w:r w:rsidR="00A03CDE">
        <w:rPr>
          <w:szCs w:val="24"/>
          <w:lang w:val="fo-FO"/>
        </w:rPr>
        <w:t>er</w:t>
      </w:r>
      <w:r w:rsidRPr="00A71455">
        <w:rPr>
          <w:szCs w:val="24"/>
          <w:lang w:val="fo-FO"/>
        </w:rPr>
        <w:t xml:space="preserve"> hækkað síðani september 2023. Orsøkin er, at flóttafólkini ofta hava tíðaravmarkað størv, og at tað er trupult at finna størv til tey.</w:t>
      </w:r>
    </w:p>
    <w:p w14:paraId="19AB025F" w14:textId="77777777" w:rsidR="006761C6" w:rsidRDefault="006761C6" w:rsidP="00B05B61">
      <w:pPr>
        <w:spacing w:after="0" w:line="240" w:lineRule="auto"/>
        <w:jc w:val="both"/>
        <w:rPr>
          <w:szCs w:val="24"/>
          <w:lang w:val="fo-FO"/>
        </w:rPr>
      </w:pPr>
    </w:p>
    <w:p w14:paraId="5A3F748E" w14:textId="18D25412" w:rsidR="006761C6" w:rsidRDefault="006761C6" w:rsidP="00B05B61">
      <w:pPr>
        <w:spacing w:after="0" w:line="240" w:lineRule="auto"/>
        <w:jc w:val="both"/>
        <w:rPr>
          <w:szCs w:val="24"/>
          <w:lang w:val="fo-FO"/>
        </w:rPr>
      </w:pPr>
      <w:r>
        <w:rPr>
          <w:szCs w:val="24"/>
          <w:lang w:val="fo-FO"/>
        </w:rPr>
        <w:t xml:space="preserve">Viðvíkjandi sálarfrøðiligari hjálp til ukrainsku flóttafólkini, so hevur </w:t>
      </w:r>
      <w:r w:rsidRPr="006761C6">
        <w:rPr>
          <w:szCs w:val="24"/>
          <w:lang w:val="fo-FO"/>
        </w:rPr>
        <w:t xml:space="preserve">Berin fingið fígging til </w:t>
      </w:r>
      <w:r w:rsidR="00A21EE6">
        <w:rPr>
          <w:szCs w:val="24"/>
          <w:lang w:val="fo-FO"/>
        </w:rPr>
        <w:t>eina verkætlan hesum viðvíkjandi</w:t>
      </w:r>
      <w:r>
        <w:rPr>
          <w:szCs w:val="24"/>
          <w:lang w:val="fo-FO"/>
        </w:rPr>
        <w:t xml:space="preserve"> í 2024. V</w:t>
      </w:r>
      <w:r w:rsidRPr="006761C6">
        <w:rPr>
          <w:szCs w:val="24"/>
          <w:lang w:val="fo-FO"/>
        </w:rPr>
        <w:t>æntast kann, at tey flóttafólk, sum koma til Føroyar nú, í størri mun</w:t>
      </w:r>
      <w:r w:rsidR="005464F7">
        <w:rPr>
          <w:szCs w:val="24"/>
          <w:lang w:val="fo-FO"/>
        </w:rPr>
        <w:t xml:space="preserve"> fara</w:t>
      </w:r>
      <w:r w:rsidRPr="006761C6">
        <w:rPr>
          <w:szCs w:val="24"/>
          <w:lang w:val="fo-FO"/>
        </w:rPr>
        <w:t xml:space="preserve"> at </w:t>
      </w:r>
      <w:r w:rsidR="00A03CDE">
        <w:rPr>
          <w:szCs w:val="24"/>
          <w:lang w:val="fo-FO"/>
        </w:rPr>
        <w:t xml:space="preserve">fáa </w:t>
      </w:r>
      <w:r w:rsidRPr="006761C6">
        <w:rPr>
          <w:szCs w:val="24"/>
          <w:lang w:val="fo-FO"/>
        </w:rPr>
        <w:t>brúk fyri sálarfrøðiligari hjálp, tí tey nú í næstan 2 ár hava livað í eini krígsstøðu.</w:t>
      </w:r>
      <w:r>
        <w:rPr>
          <w:szCs w:val="24"/>
          <w:lang w:val="fo-FO"/>
        </w:rPr>
        <w:t xml:space="preserve"> </w:t>
      </w:r>
      <w:r w:rsidR="00A21EE6">
        <w:rPr>
          <w:szCs w:val="24"/>
          <w:lang w:val="fo-FO"/>
        </w:rPr>
        <w:t>Uppskotið fer tó neyvan at hava nakrar fíggjarligar avleiðingar fyri tilboðið um sálarfrøðiliga hjálp, tí roknast má við, at tey flóttafólkini</w:t>
      </w:r>
      <w:r w:rsidR="005464F7">
        <w:rPr>
          <w:szCs w:val="24"/>
          <w:lang w:val="fo-FO"/>
        </w:rPr>
        <w:t>,</w:t>
      </w:r>
      <w:r w:rsidR="00A21EE6">
        <w:rPr>
          <w:szCs w:val="24"/>
          <w:lang w:val="fo-FO"/>
        </w:rPr>
        <w:t xml:space="preserve"> sum koma afturat, </w:t>
      </w:r>
      <w:r w:rsidR="005464F7">
        <w:rPr>
          <w:szCs w:val="24"/>
          <w:lang w:val="fo-FO"/>
        </w:rPr>
        <w:t xml:space="preserve">fara at </w:t>
      </w:r>
      <w:r w:rsidR="00A21EE6">
        <w:rPr>
          <w:szCs w:val="24"/>
          <w:lang w:val="fo-FO"/>
        </w:rPr>
        <w:t>rúmast innan</w:t>
      </w:r>
      <w:r w:rsidR="008F4342">
        <w:rPr>
          <w:szCs w:val="24"/>
          <w:lang w:val="fo-FO"/>
        </w:rPr>
        <w:t xml:space="preserve"> </w:t>
      </w:r>
      <w:r w:rsidR="00A21EE6">
        <w:rPr>
          <w:szCs w:val="24"/>
          <w:lang w:val="fo-FO"/>
        </w:rPr>
        <w:t>fyri tað tilboð, sum Berin longu hevur fingið fígging til.</w:t>
      </w:r>
    </w:p>
    <w:p w14:paraId="5C03D264" w14:textId="77777777" w:rsidR="00C36A47" w:rsidRDefault="00C36A47" w:rsidP="00B05B61">
      <w:pPr>
        <w:spacing w:after="0" w:line="240" w:lineRule="auto"/>
        <w:jc w:val="both"/>
        <w:rPr>
          <w:szCs w:val="24"/>
          <w:lang w:val="fo-FO"/>
        </w:rPr>
      </w:pPr>
    </w:p>
    <w:p w14:paraId="0AEE4CA2" w14:textId="2AE6875D" w:rsidR="00FD54F0" w:rsidRDefault="00A21EE6" w:rsidP="00B05B61">
      <w:pPr>
        <w:spacing w:after="0" w:line="240" w:lineRule="auto"/>
        <w:jc w:val="both"/>
        <w:rPr>
          <w:szCs w:val="24"/>
          <w:lang w:val="fo-FO"/>
        </w:rPr>
      </w:pPr>
      <w:r>
        <w:rPr>
          <w:szCs w:val="24"/>
          <w:lang w:val="fo-FO"/>
        </w:rPr>
        <w:t xml:space="preserve">Sum tað sæst, er </w:t>
      </w:r>
      <w:r w:rsidR="00C36A47">
        <w:rPr>
          <w:szCs w:val="24"/>
          <w:lang w:val="fo-FO"/>
        </w:rPr>
        <w:t xml:space="preserve">trupult at meta um fíggjarligu avleiðingarnar av uppskotinum, tí tað </w:t>
      </w:r>
      <w:r w:rsidR="00FD54F0">
        <w:rPr>
          <w:szCs w:val="24"/>
          <w:lang w:val="fo-FO"/>
        </w:rPr>
        <w:t xml:space="preserve">veldst um, hvussu </w:t>
      </w:r>
      <w:r w:rsidR="00FD54F0" w:rsidRPr="00FD54F0">
        <w:rPr>
          <w:szCs w:val="24"/>
          <w:lang w:val="fo-FO"/>
        </w:rPr>
        <w:t>g</w:t>
      </w:r>
      <w:r w:rsidR="000D4FB5">
        <w:rPr>
          <w:szCs w:val="24"/>
          <w:lang w:val="fo-FO"/>
        </w:rPr>
        <w:t>omul</w:t>
      </w:r>
      <w:r w:rsidR="0021274D">
        <w:rPr>
          <w:szCs w:val="24"/>
          <w:lang w:val="fo-FO"/>
        </w:rPr>
        <w:t xml:space="preserve"> tey</w:t>
      </w:r>
      <w:r w:rsidR="000D4FB5">
        <w:rPr>
          <w:szCs w:val="24"/>
          <w:lang w:val="fo-FO"/>
        </w:rPr>
        <w:t xml:space="preserve"> ukrainsku flóttafólkini</w:t>
      </w:r>
      <w:r w:rsidR="00FD54F0" w:rsidRPr="00FD54F0">
        <w:rPr>
          <w:szCs w:val="24"/>
          <w:lang w:val="fo-FO"/>
        </w:rPr>
        <w:t>,</w:t>
      </w:r>
      <w:r w:rsidR="00C36A47">
        <w:rPr>
          <w:szCs w:val="24"/>
          <w:lang w:val="fo-FO"/>
        </w:rPr>
        <w:t xml:space="preserve"> sum</w:t>
      </w:r>
      <w:r w:rsidR="000D4FB5">
        <w:rPr>
          <w:szCs w:val="24"/>
          <w:lang w:val="fo-FO"/>
        </w:rPr>
        <w:t xml:space="preserve"> </w:t>
      </w:r>
      <w:r w:rsidR="00A03CDE">
        <w:rPr>
          <w:szCs w:val="24"/>
          <w:lang w:val="fo-FO"/>
        </w:rPr>
        <w:t>koma afturat, eru</w:t>
      </w:r>
      <w:r w:rsidR="000D4FB5">
        <w:rPr>
          <w:szCs w:val="24"/>
          <w:lang w:val="fo-FO"/>
        </w:rPr>
        <w:t>,</w:t>
      </w:r>
      <w:r w:rsidR="00FD54F0" w:rsidRPr="00FD54F0">
        <w:rPr>
          <w:szCs w:val="24"/>
          <w:lang w:val="fo-FO"/>
        </w:rPr>
        <w:t xml:space="preserve"> hvørjar førleikar tey hava, hvørja heilsustøðu tey hava o.a. </w:t>
      </w:r>
    </w:p>
    <w:p w14:paraId="2EED82C1" w14:textId="77777777" w:rsidR="00FD54F0" w:rsidRDefault="00FD54F0" w:rsidP="00B05B61">
      <w:pPr>
        <w:spacing w:after="0" w:line="240" w:lineRule="auto"/>
        <w:jc w:val="both"/>
        <w:rPr>
          <w:szCs w:val="24"/>
          <w:lang w:val="fo-FO"/>
        </w:rPr>
      </w:pPr>
    </w:p>
    <w:p w14:paraId="5B397885" w14:textId="2B5D0C6D" w:rsidR="00842EAD" w:rsidRDefault="004809E9" w:rsidP="00850CFB">
      <w:pPr>
        <w:spacing w:after="0" w:line="240" w:lineRule="auto"/>
        <w:jc w:val="both"/>
        <w:rPr>
          <w:szCs w:val="24"/>
          <w:lang w:val="fo-FO"/>
        </w:rPr>
      </w:pPr>
      <w:r>
        <w:rPr>
          <w:szCs w:val="24"/>
          <w:lang w:val="fo-FO"/>
        </w:rPr>
        <w:t xml:space="preserve">Uppskotið væntast </w:t>
      </w:r>
      <w:r w:rsidR="00F76579">
        <w:rPr>
          <w:szCs w:val="24"/>
          <w:lang w:val="fo-FO"/>
        </w:rPr>
        <w:t xml:space="preserve">tó </w:t>
      </w:r>
      <w:r>
        <w:rPr>
          <w:szCs w:val="24"/>
          <w:lang w:val="fo-FO"/>
        </w:rPr>
        <w:t xml:space="preserve">at hava </w:t>
      </w:r>
      <w:r w:rsidR="00F76579">
        <w:rPr>
          <w:szCs w:val="24"/>
          <w:lang w:val="fo-FO"/>
        </w:rPr>
        <w:t xml:space="preserve">nakrar </w:t>
      </w:r>
      <w:r w:rsidR="00C36A47" w:rsidRPr="004809E9">
        <w:rPr>
          <w:szCs w:val="24"/>
          <w:lang w:val="fo-FO"/>
        </w:rPr>
        <w:t>fleiri útreiðslur</w:t>
      </w:r>
      <w:r>
        <w:rPr>
          <w:szCs w:val="24"/>
          <w:lang w:val="fo-FO"/>
        </w:rPr>
        <w:t xml:space="preserve"> við sær</w:t>
      </w:r>
      <w:r w:rsidR="00842EAD">
        <w:rPr>
          <w:szCs w:val="24"/>
          <w:lang w:val="fo-FO"/>
        </w:rPr>
        <w:t xml:space="preserve"> serliga innan fyri almannaveitingar, og møguliga eisini innan fyri skúlaskipanina og málundirvísing og</w:t>
      </w:r>
      <w:r w:rsidR="00151714">
        <w:rPr>
          <w:szCs w:val="24"/>
          <w:lang w:val="fo-FO"/>
        </w:rPr>
        <w:t xml:space="preserve"> aðrar </w:t>
      </w:r>
      <w:r w:rsidR="00842EAD">
        <w:rPr>
          <w:szCs w:val="24"/>
          <w:lang w:val="fo-FO"/>
        </w:rPr>
        <w:t>almennar tænastur.</w:t>
      </w:r>
    </w:p>
    <w:p w14:paraId="767A7475" w14:textId="77777777" w:rsidR="00850CFB" w:rsidRDefault="00850CFB" w:rsidP="00850CFB">
      <w:pPr>
        <w:spacing w:after="0" w:line="240" w:lineRule="auto"/>
        <w:jc w:val="both"/>
        <w:rPr>
          <w:szCs w:val="24"/>
          <w:lang w:val="fo-FO"/>
        </w:rPr>
      </w:pPr>
    </w:p>
    <w:p w14:paraId="5DF45CFD" w14:textId="3A77F1D4" w:rsidR="00FD54F0" w:rsidRDefault="00C36A47" w:rsidP="00850CFB">
      <w:pPr>
        <w:spacing w:after="0" w:line="240" w:lineRule="auto"/>
        <w:jc w:val="both"/>
        <w:rPr>
          <w:szCs w:val="24"/>
          <w:lang w:val="fo-FO"/>
        </w:rPr>
      </w:pPr>
      <w:r w:rsidRPr="00C36A47">
        <w:rPr>
          <w:szCs w:val="24"/>
          <w:lang w:val="fo-FO"/>
        </w:rPr>
        <w:t>Um</w:t>
      </w:r>
      <w:r w:rsidR="004809E9">
        <w:rPr>
          <w:szCs w:val="24"/>
          <w:lang w:val="fo-FO"/>
        </w:rPr>
        <w:t xml:space="preserve"> útreiðslurnar ikki kunnu </w:t>
      </w:r>
      <w:r w:rsidRPr="00C36A47">
        <w:rPr>
          <w:szCs w:val="24"/>
          <w:lang w:val="fo-FO"/>
        </w:rPr>
        <w:t>fíggjast innanfyri verandi játtan, má eykajáttan til</w:t>
      </w:r>
      <w:r w:rsidR="004809E9">
        <w:rPr>
          <w:szCs w:val="24"/>
          <w:lang w:val="fo-FO"/>
        </w:rPr>
        <w:t>.</w:t>
      </w:r>
    </w:p>
    <w:p w14:paraId="24B1EECD" w14:textId="77777777" w:rsidR="000D4FB5" w:rsidRDefault="000D4FB5" w:rsidP="00B05B61">
      <w:pPr>
        <w:spacing w:after="0" w:line="240" w:lineRule="auto"/>
        <w:jc w:val="both"/>
        <w:rPr>
          <w:szCs w:val="24"/>
          <w:lang w:val="fo-FO"/>
        </w:rPr>
      </w:pPr>
    </w:p>
    <w:p w14:paraId="366A6771" w14:textId="77777777" w:rsidR="00BF46D7" w:rsidRPr="00BF46D7" w:rsidRDefault="00BF46D7" w:rsidP="00B05B61">
      <w:pPr>
        <w:spacing w:after="0" w:line="240" w:lineRule="auto"/>
        <w:jc w:val="both"/>
        <w:rPr>
          <w:szCs w:val="24"/>
          <w:lang w:val="fo-FO"/>
        </w:rPr>
      </w:pPr>
    </w:p>
    <w:p w14:paraId="2B0F2701" w14:textId="77777777" w:rsidR="00BF46D7" w:rsidRPr="00BF46D7" w:rsidRDefault="00BF46D7" w:rsidP="00B05B61">
      <w:pPr>
        <w:spacing w:after="0" w:line="240" w:lineRule="auto"/>
        <w:rPr>
          <w:b/>
          <w:szCs w:val="24"/>
          <w:lang w:val="fo-FO"/>
        </w:rPr>
      </w:pPr>
      <w:r w:rsidRPr="00BF46D7">
        <w:rPr>
          <w:b/>
          <w:szCs w:val="24"/>
          <w:lang w:val="fo-FO"/>
        </w:rPr>
        <w:t>2.2. Umsitingarligar avleiðingar fyri land og kommunur</w:t>
      </w:r>
    </w:p>
    <w:p w14:paraId="6BAA8E24" w14:textId="7C8C2B00" w:rsidR="009C3DC1" w:rsidRDefault="009C3DC1" w:rsidP="00B05B61">
      <w:pPr>
        <w:spacing w:after="0" w:line="240" w:lineRule="auto"/>
        <w:jc w:val="both"/>
        <w:rPr>
          <w:szCs w:val="24"/>
          <w:lang w:val="fo-FO"/>
        </w:rPr>
      </w:pPr>
      <w:r>
        <w:rPr>
          <w:szCs w:val="24"/>
          <w:lang w:val="fo-FO"/>
        </w:rPr>
        <w:t>Væntast kann</w:t>
      </w:r>
      <w:r w:rsidR="005464F7">
        <w:rPr>
          <w:szCs w:val="24"/>
          <w:lang w:val="fo-FO"/>
        </w:rPr>
        <w:t>, at arbeiðsbyrðan hjá Útlendingastovuni,</w:t>
      </w:r>
      <w:r w:rsidR="005464F7" w:rsidRPr="005464F7">
        <w:rPr>
          <w:lang w:val="fo-FO"/>
        </w:rPr>
        <w:t xml:space="preserve"> </w:t>
      </w:r>
      <w:r w:rsidR="005464F7" w:rsidRPr="005464F7">
        <w:rPr>
          <w:szCs w:val="24"/>
          <w:lang w:val="fo-FO"/>
        </w:rPr>
        <w:t>sum m.a. hjálpir ukrainsku flóttafólkunum at finna býli</w:t>
      </w:r>
      <w:r w:rsidR="005464F7">
        <w:rPr>
          <w:szCs w:val="24"/>
          <w:lang w:val="fo-FO"/>
        </w:rPr>
        <w:t xml:space="preserve">, verður størri. </w:t>
      </w:r>
    </w:p>
    <w:p w14:paraId="7EA779D9" w14:textId="77777777" w:rsidR="0063158B" w:rsidRDefault="0063158B" w:rsidP="00B05B61">
      <w:pPr>
        <w:spacing w:after="0" w:line="240" w:lineRule="auto"/>
        <w:jc w:val="both"/>
        <w:rPr>
          <w:szCs w:val="24"/>
          <w:lang w:val="fo-FO"/>
        </w:rPr>
      </w:pPr>
    </w:p>
    <w:p w14:paraId="4742D295" w14:textId="3B30A047" w:rsidR="009C3DC1" w:rsidRDefault="009C3DC1" w:rsidP="00850CFB">
      <w:pPr>
        <w:spacing w:after="0" w:line="240" w:lineRule="auto"/>
        <w:jc w:val="both"/>
        <w:rPr>
          <w:szCs w:val="24"/>
          <w:lang w:val="fo-FO"/>
        </w:rPr>
      </w:pPr>
      <w:r w:rsidRPr="00850CFB">
        <w:rPr>
          <w:szCs w:val="24"/>
          <w:lang w:val="fo-FO"/>
        </w:rPr>
        <w:t xml:space="preserve">Væntast kann </w:t>
      </w:r>
      <w:r>
        <w:rPr>
          <w:szCs w:val="24"/>
          <w:lang w:val="fo-FO"/>
        </w:rPr>
        <w:t>eisini</w:t>
      </w:r>
      <w:r w:rsidR="005464F7">
        <w:rPr>
          <w:szCs w:val="24"/>
          <w:lang w:val="fo-FO"/>
        </w:rPr>
        <w:t xml:space="preserve">, at Almannaverkið fær eina </w:t>
      </w:r>
      <w:r>
        <w:rPr>
          <w:szCs w:val="24"/>
          <w:lang w:val="fo-FO"/>
        </w:rPr>
        <w:t>størri arbeiðsbyrð</w:t>
      </w:r>
      <w:r w:rsidR="006761C6">
        <w:rPr>
          <w:szCs w:val="24"/>
          <w:lang w:val="fo-FO"/>
        </w:rPr>
        <w:t>u</w:t>
      </w:r>
      <w:r w:rsidR="005464F7">
        <w:rPr>
          <w:szCs w:val="24"/>
          <w:lang w:val="fo-FO"/>
        </w:rPr>
        <w:t xml:space="preserve"> til málsviðgerð</w:t>
      </w:r>
      <w:r>
        <w:rPr>
          <w:szCs w:val="24"/>
          <w:lang w:val="fo-FO"/>
        </w:rPr>
        <w:t>, m.a.</w:t>
      </w:r>
      <w:r w:rsidR="005464F7">
        <w:rPr>
          <w:szCs w:val="24"/>
          <w:lang w:val="fo-FO"/>
        </w:rPr>
        <w:t xml:space="preserve"> </w:t>
      </w:r>
      <w:r>
        <w:rPr>
          <w:szCs w:val="24"/>
          <w:lang w:val="fo-FO"/>
        </w:rPr>
        <w:t>at hjálpa ukrainsku flóttafólkunum í arbeiði. Sama er galdandi fyri fólkaskúlarnar og Kvøldskúlan í mun til málundirvísing</w:t>
      </w:r>
      <w:r w:rsidR="002125F0">
        <w:rPr>
          <w:szCs w:val="24"/>
          <w:lang w:val="fo-FO"/>
        </w:rPr>
        <w:t xml:space="preserve"> og</w:t>
      </w:r>
      <w:r w:rsidR="00C65F7D">
        <w:rPr>
          <w:szCs w:val="24"/>
          <w:lang w:val="fo-FO"/>
        </w:rPr>
        <w:t xml:space="preserve"> møguliga eisini umsiting</w:t>
      </w:r>
      <w:r w:rsidR="008F4342">
        <w:rPr>
          <w:szCs w:val="24"/>
          <w:lang w:val="fo-FO"/>
        </w:rPr>
        <w:t>arnar</w:t>
      </w:r>
      <w:r w:rsidR="00C65F7D">
        <w:rPr>
          <w:szCs w:val="24"/>
          <w:lang w:val="fo-FO"/>
        </w:rPr>
        <w:t xml:space="preserve"> í teimum kommu</w:t>
      </w:r>
      <w:r w:rsidR="00151714">
        <w:rPr>
          <w:szCs w:val="24"/>
          <w:lang w:val="fo-FO"/>
        </w:rPr>
        <w:t>nu</w:t>
      </w:r>
      <w:r w:rsidR="00C65F7D">
        <w:rPr>
          <w:szCs w:val="24"/>
          <w:lang w:val="fo-FO"/>
        </w:rPr>
        <w:t>m</w:t>
      </w:r>
      <w:r w:rsidR="002125F0">
        <w:rPr>
          <w:szCs w:val="24"/>
          <w:lang w:val="fo-FO"/>
        </w:rPr>
        <w:t>, har flóttafólkini</w:t>
      </w:r>
      <w:r w:rsidR="008F4342">
        <w:rPr>
          <w:szCs w:val="24"/>
          <w:lang w:val="fo-FO"/>
        </w:rPr>
        <w:t xml:space="preserve"> fara at</w:t>
      </w:r>
      <w:r w:rsidR="002125F0">
        <w:rPr>
          <w:szCs w:val="24"/>
          <w:lang w:val="fo-FO"/>
        </w:rPr>
        <w:t xml:space="preserve"> </w:t>
      </w:r>
      <w:r w:rsidR="00151714">
        <w:rPr>
          <w:szCs w:val="24"/>
          <w:lang w:val="fo-FO"/>
        </w:rPr>
        <w:t>búgva</w:t>
      </w:r>
      <w:r>
        <w:rPr>
          <w:szCs w:val="24"/>
          <w:lang w:val="fo-FO"/>
        </w:rPr>
        <w:t>.</w:t>
      </w:r>
      <w:r w:rsidR="00FF2A92">
        <w:rPr>
          <w:szCs w:val="24"/>
          <w:lang w:val="fo-FO"/>
        </w:rPr>
        <w:t xml:space="preserve"> </w:t>
      </w:r>
    </w:p>
    <w:p w14:paraId="5DB3E4F2" w14:textId="77777777" w:rsidR="00842EAD" w:rsidRDefault="00842EAD" w:rsidP="00B05B61">
      <w:pPr>
        <w:spacing w:after="0" w:line="240" w:lineRule="auto"/>
        <w:jc w:val="both"/>
        <w:rPr>
          <w:szCs w:val="24"/>
          <w:lang w:val="fo-FO"/>
        </w:rPr>
      </w:pPr>
    </w:p>
    <w:p w14:paraId="45489A9F" w14:textId="4F5D6E7F" w:rsidR="00842EAD" w:rsidRDefault="00842EAD" w:rsidP="00B05B61">
      <w:pPr>
        <w:spacing w:after="0" w:line="240" w:lineRule="auto"/>
        <w:jc w:val="both"/>
        <w:rPr>
          <w:szCs w:val="24"/>
          <w:lang w:val="fo-FO"/>
        </w:rPr>
      </w:pPr>
      <w:r w:rsidRPr="00842EAD">
        <w:rPr>
          <w:szCs w:val="24"/>
          <w:lang w:val="fo-FO"/>
        </w:rPr>
        <w:t>Uppskotið kann</w:t>
      </w:r>
      <w:r w:rsidR="002125F0">
        <w:rPr>
          <w:szCs w:val="24"/>
          <w:lang w:val="fo-FO"/>
        </w:rPr>
        <w:t xml:space="preserve"> sostatt</w:t>
      </w:r>
      <w:r w:rsidRPr="00842EAD">
        <w:rPr>
          <w:szCs w:val="24"/>
          <w:lang w:val="fo-FO"/>
        </w:rPr>
        <w:t xml:space="preserve"> væntast at leggja eitt ávíst umsitingarligt trýst á tænastur, sum land</w:t>
      </w:r>
      <w:r w:rsidR="002125F0">
        <w:rPr>
          <w:szCs w:val="24"/>
          <w:lang w:val="fo-FO"/>
        </w:rPr>
        <w:t xml:space="preserve"> og kommunur veita</w:t>
      </w:r>
      <w:r w:rsidRPr="00842EAD">
        <w:rPr>
          <w:szCs w:val="24"/>
          <w:lang w:val="fo-FO"/>
        </w:rPr>
        <w:t>, so sum heilsutænastur, skúlaskipanina, almannaveitingar og almennar tænastur</w:t>
      </w:r>
      <w:r w:rsidR="002125F0">
        <w:rPr>
          <w:szCs w:val="24"/>
          <w:lang w:val="fo-FO"/>
        </w:rPr>
        <w:t>.</w:t>
      </w:r>
    </w:p>
    <w:p w14:paraId="11C30810" w14:textId="77777777" w:rsidR="009C3DC1" w:rsidRDefault="009C3DC1" w:rsidP="00B05B61">
      <w:pPr>
        <w:spacing w:after="0" w:line="240" w:lineRule="auto"/>
        <w:jc w:val="both"/>
        <w:rPr>
          <w:szCs w:val="24"/>
          <w:lang w:val="fo-FO"/>
        </w:rPr>
      </w:pPr>
    </w:p>
    <w:p w14:paraId="1F8DF90A" w14:textId="77777777" w:rsidR="00BF46D7" w:rsidRPr="00BF46D7" w:rsidRDefault="00BF46D7" w:rsidP="00B05B61">
      <w:pPr>
        <w:spacing w:after="0" w:line="240" w:lineRule="auto"/>
        <w:jc w:val="both"/>
        <w:rPr>
          <w:szCs w:val="24"/>
          <w:lang w:val="fo-FO"/>
        </w:rPr>
      </w:pPr>
    </w:p>
    <w:p w14:paraId="2497C3E9" w14:textId="77777777" w:rsidR="00BF46D7" w:rsidRPr="00BF46D7" w:rsidRDefault="00BF46D7" w:rsidP="00B05B61">
      <w:pPr>
        <w:spacing w:after="0" w:line="240" w:lineRule="auto"/>
        <w:rPr>
          <w:b/>
          <w:szCs w:val="24"/>
          <w:lang w:val="fo-FO"/>
        </w:rPr>
      </w:pPr>
      <w:r w:rsidRPr="00BF46D7">
        <w:rPr>
          <w:b/>
          <w:szCs w:val="24"/>
          <w:lang w:val="fo-FO"/>
        </w:rPr>
        <w:t>2.3. Avleiðingar fyri vinnuna</w:t>
      </w:r>
    </w:p>
    <w:p w14:paraId="39C12F6E" w14:textId="1307D3AF" w:rsidR="00F36929" w:rsidRDefault="00F36929" w:rsidP="00B05B61">
      <w:pPr>
        <w:spacing w:after="0" w:line="240" w:lineRule="auto"/>
        <w:jc w:val="both"/>
        <w:rPr>
          <w:szCs w:val="24"/>
          <w:lang w:val="fo-FO"/>
        </w:rPr>
      </w:pPr>
      <w:r w:rsidRPr="00F36929">
        <w:rPr>
          <w:szCs w:val="24"/>
          <w:lang w:val="fo-FO"/>
        </w:rPr>
        <w:t>Uppskotið hevur ikki</w:t>
      </w:r>
      <w:r w:rsidR="0021274D">
        <w:rPr>
          <w:szCs w:val="24"/>
          <w:lang w:val="fo-FO"/>
        </w:rPr>
        <w:t xml:space="preserve"> </w:t>
      </w:r>
      <w:r w:rsidRPr="00F36929">
        <w:rPr>
          <w:szCs w:val="24"/>
          <w:lang w:val="fo-FO"/>
        </w:rPr>
        <w:t>fíggjarligar ella umsitingarligar avleiðingar fyri vinnuna.</w:t>
      </w:r>
      <w:r>
        <w:rPr>
          <w:szCs w:val="24"/>
          <w:lang w:val="fo-FO"/>
        </w:rPr>
        <w:t xml:space="preserve"> </w:t>
      </w:r>
      <w:r w:rsidRPr="00F36929">
        <w:rPr>
          <w:szCs w:val="24"/>
          <w:lang w:val="fo-FO"/>
        </w:rPr>
        <w:t xml:space="preserve">Nevnast kann tó, at tað fyri vinnuna kann fáa tann týdning, at útboðið av arbeiðsmegi í landinum </w:t>
      </w:r>
      <w:r>
        <w:rPr>
          <w:szCs w:val="24"/>
          <w:lang w:val="fo-FO"/>
        </w:rPr>
        <w:t xml:space="preserve">væntandi </w:t>
      </w:r>
      <w:r w:rsidRPr="00F36929">
        <w:rPr>
          <w:szCs w:val="24"/>
          <w:lang w:val="fo-FO"/>
        </w:rPr>
        <w:t>verður størri</w:t>
      </w:r>
      <w:r>
        <w:rPr>
          <w:szCs w:val="24"/>
          <w:lang w:val="fo-FO"/>
        </w:rPr>
        <w:t>.</w:t>
      </w:r>
    </w:p>
    <w:p w14:paraId="5A36C21B" w14:textId="77777777" w:rsidR="00F36929" w:rsidRDefault="00F36929" w:rsidP="00B05B61">
      <w:pPr>
        <w:spacing w:after="0" w:line="240" w:lineRule="auto"/>
        <w:jc w:val="both"/>
        <w:rPr>
          <w:szCs w:val="24"/>
          <w:lang w:val="fo-FO"/>
        </w:rPr>
      </w:pPr>
    </w:p>
    <w:p w14:paraId="7CD7AC48" w14:textId="77777777" w:rsidR="00BF46D7" w:rsidRPr="00BF46D7" w:rsidRDefault="00BF46D7" w:rsidP="00B05B61">
      <w:pPr>
        <w:spacing w:after="0" w:line="240" w:lineRule="auto"/>
        <w:jc w:val="both"/>
        <w:rPr>
          <w:szCs w:val="24"/>
          <w:lang w:val="fo-FO"/>
        </w:rPr>
      </w:pPr>
    </w:p>
    <w:p w14:paraId="78F9362C" w14:textId="77777777" w:rsidR="00BF46D7" w:rsidRPr="00BF46D7" w:rsidRDefault="00BF46D7" w:rsidP="00B05B61">
      <w:pPr>
        <w:spacing w:after="0" w:line="240" w:lineRule="auto"/>
        <w:rPr>
          <w:b/>
          <w:szCs w:val="24"/>
          <w:lang w:val="fo-FO"/>
        </w:rPr>
      </w:pPr>
      <w:r w:rsidRPr="00BF46D7">
        <w:rPr>
          <w:b/>
          <w:szCs w:val="24"/>
          <w:lang w:val="fo-FO"/>
        </w:rPr>
        <w:t>2.4. Avleiðingar fyri umhvørvið</w:t>
      </w:r>
    </w:p>
    <w:p w14:paraId="2598E1AE" w14:textId="33A8A673" w:rsidR="00745DC7" w:rsidRDefault="00F36929" w:rsidP="00B05B61">
      <w:pPr>
        <w:spacing w:after="0" w:line="240" w:lineRule="auto"/>
        <w:jc w:val="both"/>
        <w:rPr>
          <w:szCs w:val="24"/>
          <w:lang w:val="fo-FO"/>
        </w:rPr>
      </w:pPr>
      <w:r>
        <w:rPr>
          <w:szCs w:val="24"/>
          <w:lang w:val="fo-FO"/>
        </w:rPr>
        <w:t>L</w:t>
      </w:r>
      <w:r w:rsidR="00745DC7">
        <w:rPr>
          <w:szCs w:val="24"/>
          <w:lang w:val="fo-FO"/>
        </w:rPr>
        <w:t>ógaruppskotið</w:t>
      </w:r>
      <w:r>
        <w:rPr>
          <w:szCs w:val="24"/>
          <w:lang w:val="fo-FO"/>
        </w:rPr>
        <w:t xml:space="preserve"> hevur ikki </w:t>
      </w:r>
      <w:r w:rsidR="00745DC7">
        <w:rPr>
          <w:szCs w:val="24"/>
          <w:lang w:val="fo-FO"/>
        </w:rPr>
        <w:t>avleiðingar</w:t>
      </w:r>
      <w:r>
        <w:rPr>
          <w:szCs w:val="24"/>
          <w:lang w:val="fo-FO"/>
        </w:rPr>
        <w:t xml:space="preserve"> </w:t>
      </w:r>
      <w:r w:rsidR="00745DC7">
        <w:rPr>
          <w:szCs w:val="24"/>
          <w:lang w:val="fo-FO"/>
        </w:rPr>
        <w:t>fyri umhvørvið</w:t>
      </w:r>
    </w:p>
    <w:p w14:paraId="7BF1E6AB" w14:textId="77777777" w:rsidR="00745DC7" w:rsidRDefault="00745DC7" w:rsidP="00B05B61">
      <w:pPr>
        <w:spacing w:after="0" w:line="240" w:lineRule="auto"/>
        <w:jc w:val="both"/>
        <w:rPr>
          <w:szCs w:val="24"/>
          <w:lang w:val="fo-FO"/>
        </w:rPr>
      </w:pPr>
    </w:p>
    <w:p w14:paraId="398E1AAD" w14:textId="77777777" w:rsidR="00270B64" w:rsidRDefault="00270B64" w:rsidP="00270B64">
      <w:pPr>
        <w:spacing w:after="0" w:line="240" w:lineRule="auto"/>
        <w:jc w:val="both"/>
        <w:rPr>
          <w:szCs w:val="24"/>
          <w:lang w:val="fo-FO"/>
        </w:rPr>
      </w:pPr>
    </w:p>
    <w:p w14:paraId="2A885BA2" w14:textId="57497EB0" w:rsidR="00BF46D7" w:rsidRPr="00BF46D7" w:rsidRDefault="00BF46D7" w:rsidP="00270B64">
      <w:pPr>
        <w:spacing w:after="0" w:line="240" w:lineRule="auto"/>
        <w:jc w:val="both"/>
        <w:rPr>
          <w:b/>
          <w:szCs w:val="24"/>
          <w:lang w:val="fo-FO"/>
        </w:rPr>
      </w:pPr>
      <w:r w:rsidRPr="00BF46D7">
        <w:rPr>
          <w:b/>
          <w:szCs w:val="24"/>
          <w:lang w:val="fo-FO"/>
        </w:rPr>
        <w:t>2.5. Avleiðingar fyri serstøk øki í landinum</w:t>
      </w:r>
    </w:p>
    <w:p w14:paraId="64BF8338" w14:textId="0CF50D1A" w:rsidR="0021274D" w:rsidRDefault="00F354B9" w:rsidP="00B05B61">
      <w:pPr>
        <w:spacing w:after="0" w:line="240" w:lineRule="auto"/>
        <w:jc w:val="both"/>
        <w:rPr>
          <w:szCs w:val="24"/>
          <w:lang w:val="fo-FO"/>
        </w:rPr>
      </w:pPr>
      <w:r>
        <w:rPr>
          <w:szCs w:val="24"/>
          <w:lang w:val="fo-FO"/>
        </w:rPr>
        <w:t>U</w:t>
      </w:r>
      <w:r w:rsidR="0021274D">
        <w:rPr>
          <w:szCs w:val="24"/>
          <w:lang w:val="fo-FO"/>
        </w:rPr>
        <w:t>ppskotið kann hugsast at fáa</w:t>
      </w:r>
      <w:r w:rsidR="00B94C12">
        <w:rPr>
          <w:szCs w:val="24"/>
          <w:lang w:val="fo-FO"/>
        </w:rPr>
        <w:t xml:space="preserve"> ávísar fíggjarligar,</w:t>
      </w:r>
      <w:r w:rsidR="0021274D">
        <w:rPr>
          <w:szCs w:val="24"/>
          <w:lang w:val="fo-FO"/>
        </w:rPr>
        <w:t xml:space="preserve"> umsitingarligar og sosialar avleiðingar fyri </w:t>
      </w:r>
      <w:r w:rsidR="002125F0">
        <w:rPr>
          <w:szCs w:val="24"/>
          <w:lang w:val="fo-FO"/>
        </w:rPr>
        <w:t xml:space="preserve">serliga </w:t>
      </w:r>
      <w:r w:rsidR="0021274D">
        <w:rPr>
          <w:szCs w:val="24"/>
          <w:lang w:val="fo-FO"/>
        </w:rPr>
        <w:t>Tórshavnar kommunu, tí tað</w:t>
      </w:r>
      <w:r>
        <w:rPr>
          <w:szCs w:val="24"/>
          <w:lang w:val="fo-FO"/>
        </w:rPr>
        <w:t xml:space="preserve"> er her</w:t>
      </w:r>
      <w:r w:rsidR="0021274D">
        <w:rPr>
          <w:szCs w:val="24"/>
          <w:lang w:val="fo-FO"/>
        </w:rPr>
        <w:t xml:space="preserve"> størsti parturin av teimum ukrainsku flóttafólkunum, sum higartil hava fingið </w:t>
      </w:r>
      <w:r w:rsidR="002125F0">
        <w:rPr>
          <w:szCs w:val="24"/>
          <w:lang w:val="fo-FO"/>
        </w:rPr>
        <w:t xml:space="preserve">fyribils </w:t>
      </w:r>
      <w:r w:rsidR="0021274D">
        <w:rPr>
          <w:szCs w:val="24"/>
          <w:lang w:val="fo-FO"/>
        </w:rPr>
        <w:t xml:space="preserve">uppihaldsloyvi í Føroyum, </w:t>
      </w:r>
      <w:r w:rsidR="002125F0">
        <w:rPr>
          <w:szCs w:val="24"/>
          <w:lang w:val="fo-FO"/>
        </w:rPr>
        <w:t xml:space="preserve">búgva. </w:t>
      </w:r>
    </w:p>
    <w:p w14:paraId="566AB32C" w14:textId="77777777" w:rsidR="00F354B9" w:rsidRDefault="00F354B9" w:rsidP="00B05B61">
      <w:pPr>
        <w:spacing w:after="0" w:line="240" w:lineRule="auto"/>
        <w:jc w:val="both"/>
        <w:rPr>
          <w:szCs w:val="24"/>
          <w:lang w:val="fo-FO"/>
        </w:rPr>
      </w:pPr>
    </w:p>
    <w:p w14:paraId="030C7004" w14:textId="5F23F93B" w:rsidR="00F354B9" w:rsidRDefault="00F354B9" w:rsidP="00B05B61">
      <w:pPr>
        <w:spacing w:after="0" w:line="240" w:lineRule="auto"/>
        <w:jc w:val="both"/>
        <w:rPr>
          <w:szCs w:val="24"/>
          <w:lang w:val="fo-FO"/>
        </w:rPr>
      </w:pPr>
      <w:r w:rsidRPr="0001420B">
        <w:rPr>
          <w:szCs w:val="24"/>
          <w:lang w:val="fo-FO"/>
        </w:rPr>
        <w:t>Tórshavnar kommuna upplýs</w:t>
      </w:r>
      <w:r w:rsidR="0001420B" w:rsidRPr="0001420B">
        <w:rPr>
          <w:szCs w:val="24"/>
          <w:lang w:val="fo-FO"/>
        </w:rPr>
        <w:t>ir, at tað í løtuni búgva 106 ukrainsk flóttafólk</w:t>
      </w:r>
      <w:r w:rsidR="0001420B">
        <w:rPr>
          <w:color w:val="FF0000"/>
          <w:szCs w:val="24"/>
          <w:lang w:val="fo-FO"/>
        </w:rPr>
        <w:t xml:space="preserve"> </w:t>
      </w:r>
      <w:r w:rsidR="0001420B" w:rsidRPr="0001420B">
        <w:rPr>
          <w:szCs w:val="24"/>
          <w:lang w:val="fo-FO"/>
        </w:rPr>
        <w:t>í Tórshavnar kommunu. 30 av hesum eru børn undir 18 ár</w:t>
      </w:r>
      <w:r w:rsidRPr="00F354B9">
        <w:rPr>
          <w:szCs w:val="24"/>
          <w:lang w:val="fo-FO"/>
        </w:rPr>
        <w:t>. Tórshavnar kommuna hevur longu ein integratiónssamskipara, ein flóttafólkasamskipara umframt ein ukrainskan tulk í starvi.</w:t>
      </w:r>
    </w:p>
    <w:p w14:paraId="146F5615" w14:textId="77777777" w:rsidR="00412931" w:rsidRDefault="00412931" w:rsidP="00B05B61">
      <w:pPr>
        <w:spacing w:after="0" w:line="240" w:lineRule="auto"/>
        <w:jc w:val="both"/>
        <w:rPr>
          <w:szCs w:val="24"/>
          <w:lang w:val="fo-FO"/>
        </w:rPr>
      </w:pPr>
    </w:p>
    <w:p w14:paraId="257A6F39" w14:textId="171CFC24" w:rsidR="00412931" w:rsidRDefault="00412931" w:rsidP="00B05B61">
      <w:pPr>
        <w:spacing w:after="0" w:line="240" w:lineRule="auto"/>
        <w:jc w:val="both"/>
        <w:rPr>
          <w:szCs w:val="24"/>
          <w:lang w:val="fo-FO"/>
        </w:rPr>
      </w:pPr>
      <w:r>
        <w:rPr>
          <w:szCs w:val="24"/>
          <w:lang w:val="fo-FO"/>
        </w:rPr>
        <w:t>Tey 50 flóttafólkini, sum væntandi fáa</w:t>
      </w:r>
      <w:r w:rsidR="001E4AF2">
        <w:rPr>
          <w:szCs w:val="24"/>
          <w:lang w:val="fo-FO"/>
        </w:rPr>
        <w:t xml:space="preserve"> fyribils</w:t>
      </w:r>
      <w:r>
        <w:rPr>
          <w:szCs w:val="24"/>
          <w:lang w:val="fo-FO"/>
        </w:rPr>
        <w:t xml:space="preserve"> uppihaldsloyvi afturat, hava búð longri í einum krígsherjaðum landi, enn tey flóttafólk, sum </w:t>
      </w:r>
      <w:r w:rsidR="008F4342">
        <w:rPr>
          <w:szCs w:val="24"/>
          <w:lang w:val="fo-FO"/>
        </w:rPr>
        <w:t>hava fingið</w:t>
      </w:r>
      <w:r w:rsidR="001E4AF2">
        <w:rPr>
          <w:szCs w:val="24"/>
          <w:lang w:val="fo-FO"/>
        </w:rPr>
        <w:t xml:space="preserve"> fyribils</w:t>
      </w:r>
      <w:r>
        <w:rPr>
          <w:szCs w:val="24"/>
          <w:lang w:val="fo-FO"/>
        </w:rPr>
        <w:t xml:space="preserve"> uppihaldsloyvi í Føroyum. Tað kann tí hugsast, at tey eru meira traumatiserað av krígnum, og at hetta kann hava sosialar avleiðingar, har tey búgva.</w:t>
      </w:r>
    </w:p>
    <w:p w14:paraId="31B1FB54" w14:textId="7FCE5115" w:rsidR="00412931" w:rsidRDefault="00412931" w:rsidP="00B05B61">
      <w:pPr>
        <w:spacing w:after="0" w:line="240" w:lineRule="auto"/>
        <w:jc w:val="both"/>
        <w:rPr>
          <w:szCs w:val="24"/>
          <w:lang w:val="fo-FO"/>
        </w:rPr>
      </w:pPr>
    </w:p>
    <w:p w14:paraId="3C603CF0" w14:textId="77777777" w:rsidR="00BF46D7" w:rsidRPr="00BF46D7" w:rsidRDefault="00BF46D7" w:rsidP="00B05B61">
      <w:pPr>
        <w:spacing w:after="0" w:line="240" w:lineRule="auto"/>
        <w:jc w:val="both"/>
        <w:rPr>
          <w:szCs w:val="24"/>
          <w:lang w:val="fo-FO"/>
        </w:rPr>
      </w:pPr>
    </w:p>
    <w:p w14:paraId="530E96A8" w14:textId="77777777" w:rsidR="00BF46D7" w:rsidRPr="00BF46D7" w:rsidRDefault="00BF46D7" w:rsidP="00B05B61">
      <w:pPr>
        <w:spacing w:after="0" w:line="240" w:lineRule="auto"/>
        <w:rPr>
          <w:b/>
          <w:szCs w:val="24"/>
          <w:lang w:val="fo-FO"/>
        </w:rPr>
      </w:pPr>
      <w:r w:rsidRPr="00BF46D7">
        <w:rPr>
          <w:b/>
          <w:szCs w:val="24"/>
          <w:lang w:val="fo-FO"/>
        </w:rPr>
        <w:t>2.6. Avleiðingar fyri ávísar samfelagsbólkar ella felagsskapir</w:t>
      </w:r>
    </w:p>
    <w:p w14:paraId="6D40AF10" w14:textId="77777777" w:rsidR="00F354B9" w:rsidRDefault="00B94C12" w:rsidP="00B05B61">
      <w:pPr>
        <w:spacing w:after="0" w:line="240" w:lineRule="auto"/>
        <w:jc w:val="both"/>
        <w:rPr>
          <w:szCs w:val="24"/>
          <w:lang w:val="fo-FO"/>
        </w:rPr>
      </w:pPr>
      <w:r w:rsidRPr="00B94C12">
        <w:rPr>
          <w:szCs w:val="24"/>
          <w:lang w:val="fo-FO"/>
        </w:rPr>
        <w:t>Uppskotið</w:t>
      </w:r>
      <w:r>
        <w:rPr>
          <w:szCs w:val="24"/>
          <w:lang w:val="fo-FO"/>
        </w:rPr>
        <w:t xml:space="preserve"> </w:t>
      </w:r>
      <w:r w:rsidRPr="00B94C12">
        <w:rPr>
          <w:szCs w:val="24"/>
          <w:lang w:val="fo-FO"/>
        </w:rPr>
        <w:t>hevur</w:t>
      </w:r>
      <w:r>
        <w:rPr>
          <w:szCs w:val="24"/>
          <w:lang w:val="fo-FO"/>
        </w:rPr>
        <w:t xml:space="preserve"> </w:t>
      </w:r>
      <w:r w:rsidRPr="00B94C12">
        <w:rPr>
          <w:szCs w:val="24"/>
          <w:lang w:val="fo-FO"/>
        </w:rPr>
        <w:t>ikki avleiðingar fyri ávísar samfelagsbólkar.</w:t>
      </w:r>
      <w:r>
        <w:rPr>
          <w:szCs w:val="24"/>
          <w:lang w:val="fo-FO"/>
        </w:rPr>
        <w:t xml:space="preserve"> Reyði Krossur Føroyar hevur long</w:t>
      </w:r>
      <w:r w:rsidR="009C3DC1">
        <w:rPr>
          <w:szCs w:val="24"/>
          <w:lang w:val="fo-FO"/>
        </w:rPr>
        <w:t>u</w:t>
      </w:r>
      <w:r>
        <w:rPr>
          <w:szCs w:val="24"/>
          <w:lang w:val="fo-FO"/>
        </w:rPr>
        <w:t xml:space="preserve"> ein ávísan leiklut í sambandi við skipan av móttøkuhúsunum í samstarvi við Útlendingastovuna. Ongar lógarálagdar skyldur eru tó álagdar Reyða Krossi Føroyum. </w:t>
      </w:r>
    </w:p>
    <w:p w14:paraId="4E4AF3BA" w14:textId="77777777" w:rsidR="00F354B9" w:rsidRDefault="00F354B9" w:rsidP="00B05B61">
      <w:pPr>
        <w:spacing w:after="0" w:line="240" w:lineRule="auto"/>
        <w:jc w:val="both"/>
        <w:rPr>
          <w:szCs w:val="24"/>
          <w:lang w:val="fo-FO"/>
        </w:rPr>
      </w:pPr>
    </w:p>
    <w:p w14:paraId="3133F49B" w14:textId="2E8FE49A" w:rsidR="00B94C12" w:rsidRDefault="001E4AF2" w:rsidP="00B05B61">
      <w:pPr>
        <w:spacing w:after="0" w:line="240" w:lineRule="auto"/>
        <w:jc w:val="both"/>
        <w:rPr>
          <w:szCs w:val="24"/>
          <w:lang w:val="fo-FO"/>
        </w:rPr>
      </w:pPr>
      <w:r>
        <w:rPr>
          <w:szCs w:val="24"/>
          <w:lang w:val="fo-FO"/>
        </w:rPr>
        <w:t xml:space="preserve">Ætlanin er at </w:t>
      </w:r>
      <w:r w:rsidR="00B94C12">
        <w:rPr>
          <w:szCs w:val="24"/>
          <w:lang w:val="fo-FO"/>
        </w:rPr>
        <w:t xml:space="preserve">Berin </w:t>
      </w:r>
      <w:r>
        <w:rPr>
          <w:szCs w:val="24"/>
          <w:lang w:val="fo-FO"/>
        </w:rPr>
        <w:t>í 2024 fer at</w:t>
      </w:r>
      <w:r w:rsidR="00B94C12">
        <w:rPr>
          <w:szCs w:val="24"/>
          <w:lang w:val="fo-FO"/>
        </w:rPr>
        <w:t xml:space="preserve"> veita sálarfrøðiliga hjálp til ukrainsk flóttafólk</w:t>
      </w:r>
      <w:r w:rsidR="00B43E35">
        <w:rPr>
          <w:szCs w:val="24"/>
          <w:lang w:val="fo-FO"/>
        </w:rPr>
        <w:t xml:space="preserve">. </w:t>
      </w:r>
      <w:bookmarkStart w:id="0" w:name="_Hlk155276503"/>
      <w:r w:rsidR="00B43E35">
        <w:rPr>
          <w:szCs w:val="24"/>
          <w:lang w:val="fo-FO"/>
        </w:rPr>
        <w:t>V</w:t>
      </w:r>
      <w:r w:rsidR="00B94C12">
        <w:rPr>
          <w:szCs w:val="24"/>
          <w:lang w:val="fo-FO"/>
        </w:rPr>
        <w:t xml:space="preserve">æntast kann, at tey flóttafólk, sum koma til Føroyar </w:t>
      </w:r>
      <w:r w:rsidR="00B43E35">
        <w:rPr>
          <w:szCs w:val="24"/>
          <w:lang w:val="fo-FO"/>
        </w:rPr>
        <w:t>afturat</w:t>
      </w:r>
      <w:r w:rsidR="00B94C12">
        <w:rPr>
          <w:szCs w:val="24"/>
          <w:lang w:val="fo-FO"/>
        </w:rPr>
        <w:t xml:space="preserve">, í størri mun </w:t>
      </w:r>
      <w:r w:rsidR="00B43E35" w:rsidRPr="00B43E35">
        <w:rPr>
          <w:szCs w:val="24"/>
          <w:lang w:val="fo-FO"/>
        </w:rPr>
        <w:t xml:space="preserve">fara </w:t>
      </w:r>
      <w:r w:rsidR="00B94C12">
        <w:rPr>
          <w:szCs w:val="24"/>
          <w:lang w:val="fo-FO"/>
        </w:rPr>
        <w:t xml:space="preserve">at hava </w:t>
      </w:r>
      <w:r w:rsidR="00B43E35">
        <w:rPr>
          <w:szCs w:val="24"/>
          <w:lang w:val="fo-FO"/>
        </w:rPr>
        <w:t>tørv á</w:t>
      </w:r>
      <w:r w:rsidR="00B94C12">
        <w:rPr>
          <w:szCs w:val="24"/>
          <w:lang w:val="fo-FO"/>
        </w:rPr>
        <w:t xml:space="preserve"> sálarfrøðiligari hjálp</w:t>
      </w:r>
      <w:r w:rsidR="00B43E35">
        <w:rPr>
          <w:szCs w:val="24"/>
          <w:lang w:val="fo-FO"/>
        </w:rPr>
        <w:t>. Sí pkt. 2.1.</w:t>
      </w:r>
    </w:p>
    <w:bookmarkEnd w:id="0"/>
    <w:p w14:paraId="59C6EA7A" w14:textId="77777777" w:rsidR="00B94C12" w:rsidRDefault="00B94C12" w:rsidP="00B05B61">
      <w:pPr>
        <w:spacing w:after="0" w:line="240" w:lineRule="auto"/>
        <w:jc w:val="both"/>
        <w:rPr>
          <w:szCs w:val="24"/>
          <w:lang w:val="fo-FO"/>
        </w:rPr>
      </w:pPr>
    </w:p>
    <w:p w14:paraId="729540CC" w14:textId="77777777" w:rsidR="00BF46D7" w:rsidRPr="00BF46D7" w:rsidRDefault="00BF46D7" w:rsidP="00B05B61">
      <w:pPr>
        <w:spacing w:after="0" w:line="240" w:lineRule="auto"/>
        <w:jc w:val="both"/>
        <w:rPr>
          <w:szCs w:val="24"/>
          <w:lang w:val="fo-FO"/>
        </w:rPr>
      </w:pPr>
    </w:p>
    <w:p w14:paraId="62E3CD84" w14:textId="77777777" w:rsidR="00BF46D7" w:rsidRPr="00BF46D7" w:rsidRDefault="00BF46D7" w:rsidP="00B05B61">
      <w:pPr>
        <w:spacing w:after="0" w:line="240" w:lineRule="auto"/>
        <w:rPr>
          <w:b/>
          <w:szCs w:val="24"/>
          <w:lang w:val="fo-FO"/>
        </w:rPr>
      </w:pPr>
      <w:r w:rsidRPr="00BF46D7">
        <w:rPr>
          <w:b/>
          <w:szCs w:val="24"/>
          <w:lang w:val="fo-FO"/>
        </w:rPr>
        <w:t>2.7. Millumtjóðasáttmálar á økinum</w:t>
      </w:r>
    </w:p>
    <w:p w14:paraId="73B0A30B" w14:textId="58346578" w:rsidR="00BF46D7" w:rsidRDefault="007D1FE0" w:rsidP="00B05B61">
      <w:pPr>
        <w:spacing w:after="0" w:line="240" w:lineRule="auto"/>
        <w:jc w:val="both"/>
        <w:rPr>
          <w:szCs w:val="24"/>
          <w:lang w:val="fo-FO"/>
        </w:rPr>
      </w:pPr>
      <w:r w:rsidRPr="007D1FE0">
        <w:rPr>
          <w:szCs w:val="24"/>
          <w:lang w:val="fo-FO"/>
        </w:rPr>
        <w:t>Uppskotið viðvíkur ikki millumtjóðasáttmálum á økinum, sum Føroyar hava skyldu at fylgja.</w:t>
      </w:r>
    </w:p>
    <w:p w14:paraId="54D99407" w14:textId="77777777" w:rsidR="007D1FE0" w:rsidRPr="00BF46D7" w:rsidRDefault="007D1FE0" w:rsidP="00B05B61">
      <w:pPr>
        <w:spacing w:after="0" w:line="240" w:lineRule="auto"/>
        <w:jc w:val="both"/>
        <w:rPr>
          <w:szCs w:val="24"/>
          <w:lang w:val="fo-FO"/>
        </w:rPr>
      </w:pPr>
    </w:p>
    <w:p w14:paraId="5A6BC2AC" w14:textId="77777777" w:rsidR="00BF46D7" w:rsidRPr="00BF46D7" w:rsidRDefault="00BF46D7" w:rsidP="00B05B61">
      <w:pPr>
        <w:spacing w:after="0" w:line="240" w:lineRule="auto"/>
        <w:jc w:val="both"/>
        <w:rPr>
          <w:szCs w:val="24"/>
          <w:lang w:val="fo-FO"/>
        </w:rPr>
      </w:pPr>
    </w:p>
    <w:p w14:paraId="73182D0D" w14:textId="77777777" w:rsidR="00BF46D7" w:rsidRPr="00BF46D7" w:rsidRDefault="00BF46D7" w:rsidP="00B05B61">
      <w:pPr>
        <w:spacing w:after="0" w:line="240" w:lineRule="auto"/>
        <w:rPr>
          <w:b/>
          <w:szCs w:val="24"/>
          <w:lang w:val="fo-FO"/>
        </w:rPr>
      </w:pPr>
      <w:r w:rsidRPr="00BF46D7">
        <w:rPr>
          <w:b/>
          <w:szCs w:val="24"/>
          <w:lang w:val="fo-FO"/>
        </w:rPr>
        <w:t>2.8. Tvørgangandi millumtjóðasáttmálar</w:t>
      </w:r>
    </w:p>
    <w:p w14:paraId="73F1804B" w14:textId="7660BB4E" w:rsidR="00323DB6" w:rsidRDefault="00323DB6" w:rsidP="00B05B61">
      <w:pPr>
        <w:spacing w:after="0" w:line="240" w:lineRule="auto"/>
        <w:jc w:val="both"/>
        <w:rPr>
          <w:szCs w:val="24"/>
          <w:lang w:val="fo-FO"/>
        </w:rPr>
      </w:pPr>
      <w:r w:rsidRPr="00323DB6">
        <w:rPr>
          <w:szCs w:val="24"/>
          <w:lang w:val="fo-FO"/>
        </w:rPr>
        <w:t>Uppskotið er ikki í ósamsvari</w:t>
      </w:r>
      <w:r w:rsidR="00CD428F">
        <w:rPr>
          <w:szCs w:val="24"/>
          <w:lang w:val="fo-FO"/>
        </w:rPr>
        <w:t xml:space="preserve"> </w:t>
      </w:r>
      <w:r w:rsidRPr="00323DB6">
        <w:rPr>
          <w:szCs w:val="24"/>
          <w:lang w:val="fo-FO"/>
        </w:rPr>
        <w:t>við Hoyvíkssáttmálan, Evropeiska mannarættindasáttmálan,</w:t>
      </w:r>
      <w:r w:rsidR="00CD428F">
        <w:rPr>
          <w:szCs w:val="24"/>
          <w:lang w:val="fo-FO"/>
        </w:rPr>
        <w:t xml:space="preserve"> </w:t>
      </w:r>
      <w:r w:rsidRPr="00323DB6">
        <w:rPr>
          <w:szCs w:val="24"/>
          <w:lang w:val="fo-FO"/>
        </w:rPr>
        <w:t>EMRS,</w:t>
      </w:r>
      <w:r w:rsidR="00CD428F">
        <w:rPr>
          <w:szCs w:val="24"/>
          <w:lang w:val="fo-FO"/>
        </w:rPr>
        <w:t xml:space="preserve"> </w:t>
      </w:r>
      <w:r w:rsidRPr="00323DB6">
        <w:rPr>
          <w:szCs w:val="24"/>
          <w:lang w:val="fo-FO"/>
        </w:rPr>
        <w:t>ella Sáttmála</w:t>
      </w:r>
      <w:r w:rsidR="00CD428F">
        <w:rPr>
          <w:szCs w:val="24"/>
          <w:lang w:val="fo-FO"/>
        </w:rPr>
        <w:t xml:space="preserve"> </w:t>
      </w:r>
      <w:r w:rsidRPr="00323DB6">
        <w:rPr>
          <w:szCs w:val="24"/>
          <w:lang w:val="fo-FO"/>
        </w:rPr>
        <w:t>Sameindu Tjóða um rættindi hjá einstaklingum, ið bera brek.</w:t>
      </w:r>
      <w:r w:rsidR="00CD428F">
        <w:rPr>
          <w:szCs w:val="24"/>
          <w:lang w:val="fo-FO"/>
        </w:rPr>
        <w:t xml:space="preserve"> </w:t>
      </w:r>
      <w:r w:rsidRPr="00323DB6">
        <w:rPr>
          <w:szCs w:val="24"/>
          <w:lang w:val="fo-FO"/>
        </w:rPr>
        <w:t>Uppskotið hevur tí ikki fíggjarligar, umsitingarligar, umhvørvisligar ella aðrar avleiðingar grundað á skyldur í millumtjóðasáttmála.</w:t>
      </w:r>
    </w:p>
    <w:p w14:paraId="5CEFFAF0" w14:textId="77777777" w:rsidR="00323DB6" w:rsidRDefault="00323DB6" w:rsidP="00B05B61">
      <w:pPr>
        <w:spacing w:after="0" w:line="240" w:lineRule="auto"/>
        <w:jc w:val="both"/>
        <w:rPr>
          <w:szCs w:val="24"/>
          <w:lang w:val="fo-FO"/>
        </w:rPr>
      </w:pPr>
    </w:p>
    <w:p w14:paraId="7E4B26AF" w14:textId="77777777" w:rsidR="00BF46D7" w:rsidRPr="00BF46D7" w:rsidRDefault="00BF46D7" w:rsidP="00B05B61">
      <w:pPr>
        <w:spacing w:after="0" w:line="240" w:lineRule="auto"/>
        <w:ind w:left="360" w:hanging="360"/>
        <w:jc w:val="both"/>
        <w:rPr>
          <w:b/>
          <w:szCs w:val="24"/>
          <w:lang w:val="fo-FO"/>
        </w:rPr>
      </w:pPr>
      <w:r w:rsidRPr="00BF46D7">
        <w:rPr>
          <w:b/>
          <w:szCs w:val="24"/>
          <w:lang w:val="fo-FO"/>
        </w:rPr>
        <w:t>1)</w:t>
      </w:r>
      <w:r w:rsidRPr="00BF46D7">
        <w:rPr>
          <w:b/>
          <w:szCs w:val="24"/>
          <w:lang w:val="fo-FO"/>
        </w:rPr>
        <w:tab/>
        <w:t>Hoyvíkssáttmálin</w:t>
      </w:r>
    </w:p>
    <w:p w14:paraId="2A5B7132" w14:textId="4E01ADEB" w:rsidR="00323DB6" w:rsidRDefault="00323DB6" w:rsidP="00B05B61">
      <w:pPr>
        <w:spacing w:after="0" w:line="240" w:lineRule="auto"/>
        <w:ind w:left="360"/>
        <w:contextualSpacing/>
        <w:jc w:val="both"/>
        <w:rPr>
          <w:szCs w:val="24"/>
          <w:lang w:val="fo-FO"/>
        </w:rPr>
      </w:pPr>
      <w:r w:rsidRPr="00323DB6">
        <w:rPr>
          <w:szCs w:val="24"/>
          <w:lang w:val="fo-FO"/>
        </w:rPr>
        <w:t>Mett verður ikki,</w:t>
      </w:r>
      <w:r w:rsidR="008F4342">
        <w:rPr>
          <w:szCs w:val="24"/>
          <w:lang w:val="fo-FO"/>
        </w:rPr>
        <w:t xml:space="preserve"> </w:t>
      </w:r>
      <w:r w:rsidRPr="00323DB6">
        <w:rPr>
          <w:szCs w:val="24"/>
          <w:lang w:val="fo-FO"/>
        </w:rPr>
        <w:t>at Hoyvíkssáttmálin hevur týdning fyri uppskotið.</w:t>
      </w:r>
    </w:p>
    <w:p w14:paraId="09522DB2" w14:textId="77777777" w:rsidR="00323DB6" w:rsidRDefault="00323DB6" w:rsidP="00B05B61">
      <w:pPr>
        <w:spacing w:after="0" w:line="240" w:lineRule="auto"/>
        <w:ind w:left="360"/>
        <w:contextualSpacing/>
        <w:jc w:val="both"/>
        <w:rPr>
          <w:szCs w:val="24"/>
          <w:lang w:val="fo-FO"/>
        </w:rPr>
      </w:pPr>
    </w:p>
    <w:p w14:paraId="0B7E3A31" w14:textId="77777777" w:rsidR="00BF46D7" w:rsidRPr="00BF46D7" w:rsidRDefault="00BF46D7" w:rsidP="00B05B61">
      <w:pPr>
        <w:spacing w:after="0" w:line="240" w:lineRule="auto"/>
        <w:ind w:left="360" w:hanging="360"/>
        <w:jc w:val="both"/>
        <w:rPr>
          <w:b/>
          <w:szCs w:val="24"/>
          <w:lang w:val="fo-FO"/>
        </w:rPr>
      </w:pPr>
      <w:r w:rsidRPr="00BF46D7">
        <w:rPr>
          <w:b/>
          <w:szCs w:val="24"/>
          <w:lang w:val="fo-FO"/>
        </w:rPr>
        <w:t>2)</w:t>
      </w:r>
      <w:r w:rsidRPr="00BF46D7">
        <w:rPr>
          <w:b/>
          <w:szCs w:val="24"/>
          <w:lang w:val="fo-FO"/>
        </w:rPr>
        <w:tab/>
        <w:t>Evropeiski mannarættindasáttmálan, EMRS</w:t>
      </w:r>
    </w:p>
    <w:p w14:paraId="4252CBEC" w14:textId="31E14CE7" w:rsidR="00CD428F" w:rsidRDefault="00CD428F" w:rsidP="00CD428F">
      <w:pPr>
        <w:spacing w:after="0" w:line="240" w:lineRule="auto"/>
        <w:ind w:left="360"/>
        <w:contextualSpacing/>
        <w:jc w:val="both"/>
        <w:rPr>
          <w:szCs w:val="24"/>
          <w:lang w:val="fo-FO"/>
        </w:rPr>
      </w:pPr>
      <w:r w:rsidRPr="00CD428F">
        <w:rPr>
          <w:szCs w:val="24"/>
          <w:lang w:val="fo-FO"/>
        </w:rPr>
        <w:t xml:space="preserve">Evropeiski mannarættindasáttmálin varð settur í gildi fyri Føroyar sum lóg tann 1. mai 2000 við </w:t>
      </w:r>
      <w:r w:rsidR="00A25409">
        <w:rPr>
          <w:szCs w:val="24"/>
          <w:lang w:val="fo-FO"/>
        </w:rPr>
        <w:t>a</w:t>
      </w:r>
      <w:r w:rsidRPr="00CD428F">
        <w:rPr>
          <w:szCs w:val="24"/>
          <w:lang w:val="fo-FO"/>
        </w:rPr>
        <w:t xml:space="preserve">nordning nr. 136 af 25. februar 2000 om ikrafttræden for Færøerne af lov om den europæiske menneskerettighedskonvention. </w:t>
      </w:r>
    </w:p>
    <w:p w14:paraId="6A1CD411" w14:textId="77777777" w:rsidR="00CD428F" w:rsidRPr="00CD428F" w:rsidRDefault="00CD428F" w:rsidP="00CD428F">
      <w:pPr>
        <w:spacing w:after="0" w:line="240" w:lineRule="auto"/>
        <w:ind w:left="360"/>
        <w:contextualSpacing/>
        <w:jc w:val="both"/>
        <w:rPr>
          <w:szCs w:val="24"/>
          <w:lang w:val="fo-FO"/>
        </w:rPr>
      </w:pPr>
    </w:p>
    <w:p w14:paraId="06954C34" w14:textId="1D486BEA" w:rsidR="00CD428F" w:rsidRPr="00BF46D7" w:rsidRDefault="001E4AF2" w:rsidP="00CD428F">
      <w:pPr>
        <w:spacing w:after="0" w:line="240" w:lineRule="auto"/>
        <w:ind w:left="360"/>
        <w:contextualSpacing/>
        <w:jc w:val="both"/>
        <w:rPr>
          <w:szCs w:val="24"/>
          <w:lang w:val="fo-FO"/>
        </w:rPr>
      </w:pPr>
      <w:r>
        <w:rPr>
          <w:szCs w:val="24"/>
          <w:lang w:val="fo-FO"/>
        </w:rPr>
        <w:t>V</w:t>
      </w:r>
      <w:r w:rsidR="00CD428F" w:rsidRPr="00CD428F">
        <w:rPr>
          <w:szCs w:val="24"/>
          <w:lang w:val="fo-FO"/>
        </w:rPr>
        <w:t>iðvíkjandi hesum uppskotinum er tað serliga art.</w:t>
      </w:r>
      <w:r>
        <w:rPr>
          <w:szCs w:val="24"/>
          <w:lang w:val="fo-FO"/>
        </w:rPr>
        <w:t xml:space="preserve"> </w:t>
      </w:r>
      <w:r w:rsidR="00CD428F" w:rsidRPr="00CD428F">
        <w:rPr>
          <w:szCs w:val="24"/>
          <w:lang w:val="fo-FO"/>
        </w:rPr>
        <w:t>8 í</w:t>
      </w:r>
      <w:r w:rsidR="00CD428F">
        <w:rPr>
          <w:szCs w:val="24"/>
          <w:lang w:val="fo-FO"/>
        </w:rPr>
        <w:t xml:space="preserve"> </w:t>
      </w:r>
      <w:r w:rsidR="00CD428F" w:rsidRPr="00CD428F">
        <w:rPr>
          <w:szCs w:val="24"/>
          <w:lang w:val="fo-FO"/>
        </w:rPr>
        <w:t>EMRS</w:t>
      </w:r>
      <w:r w:rsidR="00CD428F">
        <w:rPr>
          <w:szCs w:val="24"/>
          <w:lang w:val="fo-FO"/>
        </w:rPr>
        <w:t xml:space="preserve"> </w:t>
      </w:r>
      <w:r w:rsidR="00CD428F" w:rsidRPr="00CD428F">
        <w:rPr>
          <w:szCs w:val="24"/>
          <w:lang w:val="fo-FO"/>
        </w:rPr>
        <w:t>um rættin til virðing fyri familjulívi</w:t>
      </w:r>
      <w:r w:rsidR="00F260A8">
        <w:rPr>
          <w:szCs w:val="24"/>
          <w:lang w:val="fo-FO"/>
        </w:rPr>
        <w:t>, sum hevur áhuga</w:t>
      </w:r>
      <w:r w:rsidR="00CD428F" w:rsidRPr="00CD428F">
        <w:rPr>
          <w:szCs w:val="24"/>
          <w:lang w:val="fo-FO"/>
        </w:rPr>
        <w:t>.</w:t>
      </w:r>
      <w:r w:rsidR="00CD428F">
        <w:rPr>
          <w:szCs w:val="24"/>
          <w:lang w:val="fo-FO"/>
        </w:rPr>
        <w:t xml:space="preserve"> </w:t>
      </w:r>
    </w:p>
    <w:p w14:paraId="562130EC" w14:textId="77777777" w:rsidR="00BF46D7" w:rsidRPr="00BF46D7" w:rsidRDefault="00BF46D7" w:rsidP="00B05B61">
      <w:pPr>
        <w:spacing w:after="0" w:line="240" w:lineRule="auto"/>
        <w:ind w:left="360"/>
        <w:contextualSpacing/>
        <w:jc w:val="both"/>
        <w:rPr>
          <w:szCs w:val="24"/>
          <w:lang w:val="fo-FO"/>
        </w:rPr>
      </w:pPr>
    </w:p>
    <w:p w14:paraId="525EAD44" w14:textId="77777777" w:rsidR="00BF46D7" w:rsidRPr="00BF46D7" w:rsidRDefault="00BF46D7" w:rsidP="00B05B61">
      <w:pPr>
        <w:spacing w:after="0" w:line="240" w:lineRule="auto"/>
        <w:ind w:left="360" w:hanging="360"/>
        <w:jc w:val="both"/>
        <w:rPr>
          <w:szCs w:val="24"/>
          <w:lang w:val="fo-FO"/>
        </w:rPr>
      </w:pPr>
      <w:r w:rsidRPr="00BF46D7">
        <w:rPr>
          <w:b/>
          <w:szCs w:val="24"/>
          <w:lang w:val="fo-FO"/>
        </w:rPr>
        <w:t>3)</w:t>
      </w:r>
      <w:r w:rsidRPr="00BF46D7">
        <w:rPr>
          <w:b/>
          <w:szCs w:val="24"/>
          <w:lang w:val="fo-FO"/>
        </w:rPr>
        <w:tab/>
        <w:t>Sáttmáli Sameindu Tjóða um rættindi hjá einstaklingum, ið bera brek</w:t>
      </w:r>
    </w:p>
    <w:p w14:paraId="1529FA40" w14:textId="77777777"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Sáttmálin er ikki settur í gildi í Føroyum sum lóg, men sum altjóða sáttmáli. </w:t>
      </w:r>
    </w:p>
    <w:p w14:paraId="067215FC" w14:textId="77777777" w:rsidR="00BF46D7" w:rsidRPr="00BF46D7" w:rsidRDefault="00BF46D7" w:rsidP="00B05B61">
      <w:pPr>
        <w:spacing w:after="0" w:line="240" w:lineRule="auto"/>
        <w:ind w:left="360"/>
        <w:contextualSpacing/>
        <w:jc w:val="both"/>
        <w:rPr>
          <w:szCs w:val="24"/>
          <w:lang w:val="fo-FO"/>
        </w:rPr>
      </w:pPr>
    </w:p>
    <w:p w14:paraId="61C228E1" w14:textId="77777777"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Løgtingið viðgjørdi sáttmálan í løgtingsmáli nr. 162/2008 og nr. 163/2008, og tann 13. mai 2009 varð sáttmálin góðkendur av Løgtinginum. </w:t>
      </w:r>
    </w:p>
    <w:p w14:paraId="70A732C0" w14:textId="77777777" w:rsidR="00BF46D7" w:rsidRPr="00BF46D7" w:rsidRDefault="00BF46D7" w:rsidP="00B05B61">
      <w:pPr>
        <w:spacing w:after="0" w:line="240" w:lineRule="auto"/>
        <w:ind w:left="360"/>
        <w:contextualSpacing/>
        <w:jc w:val="both"/>
        <w:rPr>
          <w:szCs w:val="24"/>
          <w:lang w:val="fo-FO"/>
        </w:rPr>
      </w:pPr>
    </w:p>
    <w:p w14:paraId="5952E8FC" w14:textId="77777777" w:rsidR="00BF46D7" w:rsidRDefault="00BF46D7" w:rsidP="00B05B61">
      <w:pPr>
        <w:spacing w:after="0" w:line="240" w:lineRule="auto"/>
        <w:ind w:left="360"/>
        <w:contextualSpacing/>
        <w:jc w:val="both"/>
        <w:rPr>
          <w:szCs w:val="24"/>
          <w:lang w:val="fo-FO"/>
        </w:rPr>
      </w:pPr>
      <w:r w:rsidRPr="00BF46D7">
        <w:rPr>
          <w:szCs w:val="24"/>
          <w:lang w:val="fo-FO"/>
        </w:rPr>
        <w:t>Sáttmálin fekk gildi fyri Danmark og harvið eisini fyri Føroyar tann 23. august 2009.</w:t>
      </w:r>
    </w:p>
    <w:p w14:paraId="784737BD" w14:textId="77777777" w:rsidR="004E3BD0" w:rsidRDefault="004E3BD0" w:rsidP="00B05B61">
      <w:pPr>
        <w:spacing w:after="0" w:line="240" w:lineRule="auto"/>
        <w:ind w:left="360"/>
        <w:contextualSpacing/>
        <w:jc w:val="both"/>
        <w:rPr>
          <w:szCs w:val="24"/>
          <w:lang w:val="fo-FO"/>
        </w:rPr>
      </w:pPr>
    </w:p>
    <w:p w14:paraId="296BB73E" w14:textId="5E3E2200" w:rsidR="004E3BD0" w:rsidRDefault="004E3BD0" w:rsidP="00B05B61">
      <w:pPr>
        <w:spacing w:after="0" w:line="240" w:lineRule="auto"/>
        <w:ind w:left="360"/>
        <w:contextualSpacing/>
        <w:jc w:val="both"/>
        <w:rPr>
          <w:szCs w:val="24"/>
          <w:lang w:val="fo-FO"/>
        </w:rPr>
      </w:pPr>
      <w:r w:rsidRPr="004E3BD0">
        <w:rPr>
          <w:szCs w:val="24"/>
          <w:lang w:val="fo-FO"/>
        </w:rPr>
        <w:t>Uppskotið verður mett at vera í samsvari</w:t>
      </w:r>
      <w:r>
        <w:rPr>
          <w:szCs w:val="24"/>
          <w:lang w:val="fo-FO"/>
        </w:rPr>
        <w:t xml:space="preserve"> </w:t>
      </w:r>
      <w:r w:rsidRPr="004E3BD0">
        <w:rPr>
          <w:szCs w:val="24"/>
          <w:lang w:val="fo-FO"/>
        </w:rPr>
        <w:t>við ásetingarnar í</w:t>
      </w:r>
      <w:r>
        <w:rPr>
          <w:szCs w:val="24"/>
          <w:lang w:val="fo-FO"/>
        </w:rPr>
        <w:t xml:space="preserve"> </w:t>
      </w:r>
      <w:r w:rsidRPr="004E3BD0">
        <w:rPr>
          <w:szCs w:val="24"/>
          <w:lang w:val="fo-FO"/>
        </w:rPr>
        <w:t>ST-sáttmálanum um rættindi hjá einstaklingum, ið bera brek.</w:t>
      </w:r>
      <w:r>
        <w:rPr>
          <w:szCs w:val="24"/>
          <w:lang w:val="fo-FO"/>
        </w:rPr>
        <w:t xml:space="preserve"> </w:t>
      </w:r>
    </w:p>
    <w:p w14:paraId="12891570" w14:textId="77777777" w:rsidR="004E3BD0" w:rsidRPr="00BF46D7" w:rsidRDefault="004E3BD0" w:rsidP="00563045">
      <w:pPr>
        <w:spacing w:after="0" w:line="240" w:lineRule="auto"/>
        <w:contextualSpacing/>
        <w:jc w:val="both"/>
        <w:rPr>
          <w:szCs w:val="24"/>
          <w:lang w:val="fo-FO"/>
        </w:rPr>
      </w:pPr>
    </w:p>
    <w:p w14:paraId="507E42E5" w14:textId="3B453E46" w:rsidR="00BF46D7" w:rsidRPr="00BF46D7" w:rsidRDefault="00BF46D7" w:rsidP="00B05B61">
      <w:pPr>
        <w:spacing w:after="0" w:line="240" w:lineRule="auto"/>
        <w:jc w:val="both"/>
        <w:rPr>
          <w:szCs w:val="24"/>
          <w:lang w:val="fo-FO"/>
        </w:rPr>
      </w:pPr>
    </w:p>
    <w:p w14:paraId="16D9251C" w14:textId="77777777" w:rsidR="00BF46D7" w:rsidRPr="00BF46D7" w:rsidRDefault="00BF46D7" w:rsidP="00B05B61">
      <w:pPr>
        <w:spacing w:after="0" w:line="240" w:lineRule="auto"/>
        <w:rPr>
          <w:b/>
          <w:szCs w:val="24"/>
          <w:lang w:val="fo-FO"/>
        </w:rPr>
      </w:pPr>
      <w:r w:rsidRPr="00BF46D7">
        <w:rPr>
          <w:b/>
          <w:szCs w:val="24"/>
          <w:lang w:val="fo-FO"/>
        </w:rPr>
        <w:t>2.9. Markaforðingar</w:t>
      </w:r>
    </w:p>
    <w:p w14:paraId="417EEF80" w14:textId="09AFBE3A" w:rsidR="004E3BD0" w:rsidRDefault="004E3BD0" w:rsidP="00B05B61">
      <w:pPr>
        <w:spacing w:after="0" w:line="240" w:lineRule="auto"/>
        <w:jc w:val="both"/>
        <w:rPr>
          <w:szCs w:val="24"/>
          <w:lang w:val="fo-FO"/>
        </w:rPr>
      </w:pPr>
      <w:r w:rsidRPr="004E3BD0">
        <w:rPr>
          <w:szCs w:val="24"/>
          <w:lang w:val="fo-FO"/>
        </w:rPr>
        <w:t>Ongar</w:t>
      </w:r>
      <w:r>
        <w:rPr>
          <w:szCs w:val="24"/>
          <w:lang w:val="fo-FO"/>
        </w:rPr>
        <w:t xml:space="preserve"> </w:t>
      </w:r>
      <w:r w:rsidRPr="004E3BD0">
        <w:rPr>
          <w:szCs w:val="24"/>
          <w:lang w:val="fo-FO"/>
        </w:rPr>
        <w:t>kendar markaforðingar eru á økinum, og uppskotið verður ikki mett at kunna elva til markaforðingar.</w:t>
      </w:r>
    </w:p>
    <w:p w14:paraId="2AAD6E6B" w14:textId="77777777" w:rsidR="004E3BD0" w:rsidRDefault="004E3BD0" w:rsidP="00B05B61">
      <w:pPr>
        <w:spacing w:after="0" w:line="240" w:lineRule="auto"/>
        <w:jc w:val="both"/>
        <w:rPr>
          <w:szCs w:val="24"/>
          <w:lang w:val="fo-FO"/>
        </w:rPr>
      </w:pPr>
    </w:p>
    <w:p w14:paraId="026BF6AB" w14:textId="77777777" w:rsidR="00BF46D7" w:rsidRPr="00BF46D7" w:rsidRDefault="00BF46D7" w:rsidP="00B05B61">
      <w:pPr>
        <w:spacing w:after="0" w:line="240" w:lineRule="auto"/>
        <w:jc w:val="both"/>
        <w:rPr>
          <w:szCs w:val="24"/>
          <w:lang w:val="fo-FO"/>
        </w:rPr>
      </w:pPr>
    </w:p>
    <w:p w14:paraId="02E2BF03" w14:textId="77777777" w:rsidR="00BF46D7" w:rsidRPr="00BF46D7" w:rsidRDefault="00BF46D7" w:rsidP="00B05B61">
      <w:pPr>
        <w:spacing w:after="0" w:line="240" w:lineRule="auto"/>
        <w:rPr>
          <w:b/>
          <w:szCs w:val="24"/>
          <w:lang w:val="fo-FO"/>
        </w:rPr>
      </w:pPr>
      <w:r w:rsidRPr="00BF46D7">
        <w:rPr>
          <w:b/>
          <w:szCs w:val="24"/>
          <w:lang w:val="fo-FO"/>
        </w:rPr>
        <w:t>2.10. Revsing, fyrisitingarligar sektir, pantiheimildir ella onnur størri inntriv</w:t>
      </w:r>
    </w:p>
    <w:p w14:paraId="0C8EABE2" w14:textId="77777777" w:rsidR="004E3BD0" w:rsidRDefault="004E3BD0" w:rsidP="00B05B61">
      <w:pPr>
        <w:spacing w:after="0" w:line="240" w:lineRule="auto"/>
        <w:jc w:val="both"/>
        <w:rPr>
          <w:szCs w:val="24"/>
          <w:lang w:val="fo-FO"/>
        </w:rPr>
      </w:pPr>
      <w:r w:rsidRPr="004E3BD0">
        <w:rPr>
          <w:szCs w:val="24"/>
          <w:lang w:val="fo-FO"/>
        </w:rPr>
        <w:t>Uppskotið hevur ongar ásetingar um revsing, fyrisitingarligar sektir ella pantiheimildir.</w:t>
      </w:r>
    </w:p>
    <w:p w14:paraId="29C7B949" w14:textId="77777777" w:rsidR="006021BE" w:rsidRPr="00563045" w:rsidRDefault="006021BE" w:rsidP="00B05B61">
      <w:pPr>
        <w:spacing w:after="0" w:line="240" w:lineRule="auto"/>
        <w:rPr>
          <w:bCs/>
          <w:szCs w:val="24"/>
          <w:lang w:val="fo-FO"/>
        </w:rPr>
      </w:pPr>
    </w:p>
    <w:p w14:paraId="6E1BF59E" w14:textId="77777777" w:rsidR="006021BE" w:rsidRPr="00563045" w:rsidRDefault="006021BE" w:rsidP="00B05B61">
      <w:pPr>
        <w:spacing w:after="0" w:line="240" w:lineRule="auto"/>
        <w:rPr>
          <w:bCs/>
          <w:szCs w:val="24"/>
          <w:lang w:val="fo-FO"/>
        </w:rPr>
      </w:pPr>
    </w:p>
    <w:p w14:paraId="41AA8EE8" w14:textId="77777777" w:rsidR="00BF46D7" w:rsidRPr="00BF46D7" w:rsidRDefault="00BF46D7" w:rsidP="00B05B61">
      <w:pPr>
        <w:spacing w:after="0" w:line="240" w:lineRule="auto"/>
        <w:rPr>
          <w:b/>
          <w:szCs w:val="24"/>
          <w:lang w:val="fo-FO"/>
        </w:rPr>
      </w:pPr>
      <w:r w:rsidRPr="00BF46D7">
        <w:rPr>
          <w:b/>
          <w:szCs w:val="24"/>
          <w:lang w:val="fo-FO"/>
        </w:rPr>
        <w:t>2.11. Skattir og avgjøld</w:t>
      </w:r>
    </w:p>
    <w:p w14:paraId="15C4FC35" w14:textId="77777777" w:rsidR="004E3BD0" w:rsidRDefault="004E3BD0" w:rsidP="00B05B61">
      <w:pPr>
        <w:spacing w:after="0" w:line="240" w:lineRule="auto"/>
        <w:jc w:val="both"/>
        <w:rPr>
          <w:szCs w:val="24"/>
          <w:lang w:val="fo-FO"/>
        </w:rPr>
      </w:pPr>
      <w:r w:rsidRPr="004E3BD0">
        <w:rPr>
          <w:szCs w:val="24"/>
          <w:lang w:val="fo-FO"/>
        </w:rPr>
        <w:t>Uppskotið hevur ongar</w:t>
      </w:r>
      <w:r>
        <w:rPr>
          <w:szCs w:val="24"/>
          <w:lang w:val="fo-FO"/>
        </w:rPr>
        <w:t xml:space="preserve"> </w:t>
      </w:r>
      <w:r w:rsidRPr="004E3BD0">
        <w:rPr>
          <w:szCs w:val="24"/>
          <w:lang w:val="fo-FO"/>
        </w:rPr>
        <w:t>ásetingar um skatt ella avgjøld</w:t>
      </w:r>
      <w:r>
        <w:rPr>
          <w:szCs w:val="24"/>
          <w:lang w:val="fo-FO"/>
        </w:rPr>
        <w:t>.</w:t>
      </w:r>
    </w:p>
    <w:p w14:paraId="0BFB4481" w14:textId="77777777" w:rsidR="004E3BD0" w:rsidRDefault="004E3BD0" w:rsidP="00B05B61">
      <w:pPr>
        <w:spacing w:after="0" w:line="240" w:lineRule="auto"/>
        <w:jc w:val="both"/>
        <w:rPr>
          <w:szCs w:val="24"/>
          <w:lang w:val="fo-FO"/>
        </w:rPr>
      </w:pPr>
    </w:p>
    <w:p w14:paraId="460DC48F" w14:textId="77777777" w:rsidR="00BF46D7" w:rsidRPr="00563045" w:rsidRDefault="00BF46D7" w:rsidP="00B05B61">
      <w:pPr>
        <w:spacing w:after="0" w:line="240" w:lineRule="auto"/>
        <w:jc w:val="both"/>
        <w:rPr>
          <w:bCs/>
          <w:szCs w:val="24"/>
          <w:lang w:val="fo-FO"/>
        </w:rPr>
      </w:pPr>
    </w:p>
    <w:p w14:paraId="193A6D54" w14:textId="77777777" w:rsidR="00BF46D7" w:rsidRPr="00BF46D7" w:rsidRDefault="00BF46D7" w:rsidP="00B05B61">
      <w:pPr>
        <w:spacing w:after="0" w:line="240" w:lineRule="auto"/>
        <w:rPr>
          <w:b/>
          <w:szCs w:val="24"/>
          <w:lang w:val="fo-FO"/>
        </w:rPr>
      </w:pPr>
      <w:r w:rsidRPr="00BF46D7">
        <w:rPr>
          <w:b/>
          <w:szCs w:val="24"/>
          <w:lang w:val="fo-FO"/>
        </w:rPr>
        <w:t>2.12. Gjøld</w:t>
      </w:r>
    </w:p>
    <w:p w14:paraId="5D41CF9B" w14:textId="77777777" w:rsidR="004E3BD0" w:rsidRDefault="004E3BD0" w:rsidP="00B05B61">
      <w:pPr>
        <w:spacing w:after="0" w:line="240" w:lineRule="auto"/>
        <w:jc w:val="both"/>
        <w:rPr>
          <w:szCs w:val="24"/>
          <w:lang w:val="fo-FO"/>
        </w:rPr>
      </w:pPr>
      <w:bookmarkStart w:id="1" w:name="_Toc403630727"/>
      <w:bookmarkStart w:id="2" w:name="_Toc403137160"/>
      <w:bookmarkStart w:id="3" w:name="_Toc403035428"/>
      <w:bookmarkStart w:id="4" w:name="_Toc402871439"/>
      <w:bookmarkStart w:id="5" w:name="_Toc402360303"/>
      <w:bookmarkStart w:id="6" w:name="_Toc402344831"/>
      <w:bookmarkStart w:id="7" w:name="_Toc400529672"/>
      <w:bookmarkStart w:id="8" w:name="_Toc398300619"/>
      <w:r w:rsidRPr="004E3BD0">
        <w:rPr>
          <w:szCs w:val="24"/>
          <w:lang w:val="fo-FO"/>
        </w:rPr>
        <w:t>Uppskotið hevur ongar ásetingar um gjøld.</w:t>
      </w:r>
    </w:p>
    <w:p w14:paraId="13DA9501" w14:textId="77777777" w:rsidR="004E3BD0" w:rsidRDefault="004E3BD0" w:rsidP="00B05B61">
      <w:pPr>
        <w:spacing w:after="0" w:line="240" w:lineRule="auto"/>
        <w:jc w:val="both"/>
        <w:rPr>
          <w:szCs w:val="24"/>
          <w:lang w:val="fo-FO"/>
        </w:rPr>
      </w:pPr>
    </w:p>
    <w:bookmarkEnd w:id="1"/>
    <w:bookmarkEnd w:id="2"/>
    <w:bookmarkEnd w:id="3"/>
    <w:bookmarkEnd w:id="4"/>
    <w:bookmarkEnd w:id="5"/>
    <w:bookmarkEnd w:id="6"/>
    <w:bookmarkEnd w:id="7"/>
    <w:bookmarkEnd w:id="8"/>
    <w:p w14:paraId="0C6F74A9" w14:textId="77777777" w:rsidR="00BF46D7" w:rsidRPr="00563045" w:rsidRDefault="00BF46D7" w:rsidP="00B05B61">
      <w:pPr>
        <w:spacing w:after="0" w:line="240" w:lineRule="auto"/>
        <w:jc w:val="both"/>
        <w:rPr>
          <w:bCs/>
          <w:szCs w:val="24"/>
          <w:lang w:val="fo-FO"/>
        </w:rPr>
      </w:pPr>
    </w:p>
    <w:p w14:paraId="2ADB343D" w14:textId="77777777" w:rsidR="00BF46D7" w:rsidRPr="00BF46D7" w:rsidRDefault="00BF46D7" w:rsidP="00B05B61">
      <w:pPr>
        <w:spacing w:after="0" w:line="240" w:lineRule="auto"/>
        <w:rPr>
          <w:b/>
          <w:szCs w:val="24"/>
          <w:lang w:val="fo-FO"/>
        </w:rPr>
      </w:pPr>
      <w:r w:rsidRPr="00BF46D7">
        <w:rPr>
          <w:b/>
          <w:szCs w:val="24"/>
          <w:lang w:val="fo-FO"/>
        </w:rPr>
        <w:t>2.13. Áleggur lógaruppskotið likamligum ella løgfrøðiligum persónum skyldur?</w:t>
      </w:r>
    </w:p>
    <w:p w14:paraId="13AC7218" w14:textId="77777777" w:rsidR="004E3BD0" w:rsidRDefault="004E3BD0" w:rsidP="00B05B61">
      <w:pPr>
        <w:spacing w:after="0" w:line="240" w:lineRule="auto"/>
        <w:jc w:val="both"/>
        <w:rPr>
          <w:szCs w:val="24"/>
          <w:lang w:val="fo-FO"/>
        </w:rPr>
      </w:pPr>
      <w:r>
        <w:rPr>
          <w:szCs w:val="24"/>
          <w:lang w:val="fo-FO"/>
        </w:rPr>
        <w:t>Uppskotið áleggur ikki likamligum ella løgfrøðiligum persónum skyldur.</w:t>
      </w:r>
    </w:p>
    <w:p w14:paraId="4C03734D" w14:textId="77777777" w:rsidR="00BF46D7" w:rsidRPr="00563045" w:rsidRDefault="00BF46D7" w:rsidP="00B05B61">
      <w:pPr>
        <w:spacing w:after="0" w:line="240" w:lineRule="auto"/>
        <w:jc w:val="both"/>
        <w:rPr>
          <w:bCs/>
          <w:szCs w:val="24"/>
          <w:lang w:val="fo-FO"/>
        </w:rPr>
      </w:pPr>
    </w:p>
    <w:p w14:paraId="3B6B30F5" w14:textId="77777777" w:rsidR="00BF46D7" w:rsidRPr="00563045" w:rsidRDefault="00BF46D7" w:rsidP="00B05B61">
      <w:pPr>
        <w:spacing w:after="0" w:line="240" w:lineRule="auto"/>
        <w:jc w:val="both"/>
        <w:rPr>
          <w:bCs/>
          <w:szCs w:val="24"/>
          <w:lang w:val="fo-FO"/>
        </w:rPr>
      </w:pPr>
    </w:p>
    <w:p w14:paraId="1A41F4A2" w14:textId="77777777" w:rsidR="00BF46D7" w:rsidRPr="00BF46D7" w:rsidRDefault="00BF46D7" w:rsidP="00B05B61">
      <w:pPr>
        <w:spacing w:after="0" w:line="240" w:lineRule="auto"/>
        <w:rPr>
          <w:b/>
          <w:szCs w:val="24"/>
          <w:lang w:val="fo-FO"/>
        </w:rPr>
      </w:pPr>
      <w:r w:rsidRPr="00BF46D7">
        <w:rPr>
          <w:b/>
          <w:szCs w:val="24"/>
          <w:lang w:val="fo-FO"/>
        </w:rPr>
        <w:t>2.14. Leggur lógaruppskotið heimildir til landsstýrismannin, ein stovn undir landsstýrinum ella til kommunur?</w:t>
      </w:r>
    </w:p>
    <w:p w14:paraId="0A122F3B" w14:textId="77777777" w:rsidR="00C14F7B" w:rsidRPr="00563045" w:rsidRDefault="00C14F7B" w:rsidP="00B05B61">
      <w:pPr>
        <w:spacing w:after="0" w:line="240" w:lineRule="auto"/>
        <w:jc w:val="both"/>
        <w:rPr>
          <w:szCs w:val="24"/>
          <w:lang w:val="fo-FO"/>
        </w:rPr>
      </w:pPr>
      <w:r w:rsidRPr="003D627B">
        <w:rPr>
          <w:color w:val="000000" w:themeColor="text1"/>
          <w:szCs w:val="24"/>
          <w:lang w:val="fo-FO"/>
        </w:rPr>
        <w:t>Uppskotið leggur ikki heimildir til landsstýrismannin, stovn undir landsstýrinum ella kommunur.</w:t>
      </w:r>
    </w:p>
    <w:p w14:paraId="0C6A0EF2" w14:textId="77777777" w:rsidR="00C14F7B" w:rsidRPr="00563045" w:rsidRDefault="00C14F7B" w:rsidP="00B05B61">
      <w:pPr>
        <w:spacing w:after="0" w:line="240" w:lineRule="auto"/>
        <w:jc w:val="both"/>
        <w:rPr>
          <w:szCs w:val="24"/>
          <w:lang w:val="fo-FO"/>
        </w:rPr>
      </w:pPr>
    </w:p>
    <w:p w14:paraId="440CF278" w14:textId="77777777" w:rsidR="00BF46D7" w:rsidRPr="00563045" w:rsidRDefault="00BF46D7" w:rsidP="00B05B61">
      <w:pPr>
        <w:spacing w:after="0" w:line="240" w:lineRule="auto"/>
        <w:jc w:val="both"/>
        <w:rPr>
          <w:szCs w:val="24"/>
          <w:lang w:val="fo-FO"/>
        </w:rPr>
      </w:pPr>
    </w:p>
    <w:p w14:paraId="3FBED024" w14:textId="77777777" w:rsidR="00BF46D7" w:rsidRPr="00BF46D7" w:rsidRDefault="00BF46D7" w:rsidP="00B05B61">
      <w:pPr>
        <w:spacing w:after="0" w:line="240" w:lineRule="auto"/>
        <w:jc w:val="both"/>
        <w:rPr>
          <w:b/>
          <w:szCs w:val="24"/>
          <w:lang w:val="fo-FO"/>
        </w:rPr>
      </w:pPr>
      <w:r w:rsidRPr="00BF46D7">
        <w:rPr>
          <w:b/>
          <w:szCs w:val="24"/>
          <w:lang w:val="fo-FO"/>
        </w:rPr>
        <w:t>2.15. Gevur lógaruppskotið almennum myndugleikum atgongd til privata ogn?</w:t>
      </w:r>
    </w:p>
    <w:p w14:paraId="6E6A7414" w14:textId="77777777" w:rsidR="00CE32CB" w:rsidRDefault="00CE32CB" w:rsidP="00B05B61">
      <w:pPr>
        <w:spacing w:after="0" w:line="240" w:lineRule="auto"/>
        <w:jc w:val="both"/>
        <w:rPr>
          <w:szCs w:val="24"/>
          <w:lang w:val="fo-FO"/>
        </w:rPr>
      </w:pPr>
      <w:r>
        <w:rPr>
          <w:szCs w:val="24"/>
          <w:lang w:val="fo-FO"/>
        </w:rPr>
        <w:t>Uppskotið</w:t>
      </w:r>
      <w:r w:rsidRPr="00CE32CB">
        <w:rPr>
          <w:szCs w:val="24"/>
          <w:lang w:val="fo-FO"/>
        </w:rPr>
        <w:t xml:space="preserve"> gevur ikki almennum myndugleikum atgongd til privata ogn uttan rættarúrskurð</w:t>
      </w:r>
      <w:r>
        <w:rPr>
          <w:szCs w:val="24"/>
          <w:lang w:val="fo-FO"/>
        </w:rPr>
        <w:t>.</w:t>
      </w:r>
    </w:p>
    <w:p w14:paraId="766C8DFB" w14:textId="77777777" w:rsidR="00BF46D7" w:rsidRPr="00563045" w:rsidRDefault="00BF46D7" w:rsidP="00B05B61">
      <w:pPr>
        <w:spacing w:after="0" w:line="240" w:lineRule="auto"/>
        <w:jc w:val="both"/>
        <w:rPr>
          <w:bCs/>
          <w:szCs w:val="24"/>
          <w:lang w:val="fo-FO"/>
        </w:rPr>
      </w:pPr>
    </w:p>
    <w:p w14:paraId="3D8FDC9B" w14:textId="77777777" w:rsidR="00BF46D7" w:rsidRPr="00563045" w:rsidRDefault="00BF46D7" w:rsidP="00B05B61">
      <w:pPr>
        <w:spacing w:after="0" w:line="240" w:lineRule="auto"/>
        <w:jc w:val="both"/>
        <w:rPr>
          <w:bCs/>
          <w:szCs w:val="24"/>
          <w:lang w:val="fo-FO"/>
        </w:rPr>
      </w:pPr>
    </w:p>
    <w:p w14:paraId="530EFB0D" w14:textId="77777777" w:rsidR="00BF46D7" w:rsidRPr="00BF46D7" w:rsidRDefault="00BF46D7" w:rsidP="00B05B61">
      <w:pPr>
        <w:spacing w:after="0" w:line="240" w:lineRule="auto"/>
        <w:jc w:val="both"/>
        <w:rPr>
          <w:b/>
          <w:szCs w:val="24"/>
          <w:lang w:val="fo-FO"/>
        </w:rPr>
      </w:pPr>
      <w:r w:rsidRPr="00BF46D7">
        <w:rPr>
          <w:b/>
          <w:szCs w:val="24"/>
          <w:lang w:val="fo-FO"/>
        </w:rPr>
        <w:t>2.16. Hevur lógaruppskotið aðrar avleiðingar?</w:t>
      </w:r>
    </w:p>
    <w:p w14:paraId="57F2B594" w14:textId="0F44AC67" w:rsidR="00CE32CB" w:rsidRDefault="00CE32CB" w:rsidP="00B05B61">
      <w:pPr>
        <w:spacing w:after="0" w:line="240" w:lineRule="auto"/>
        <w:jc w:val="both"/>
        <w:rPr>
          <w:szCs w:val="24"/>
          <w:lang w:val="fo-FO"/>
        </w:rPr>
      </w:pPr>
      <w:r w:rsidRPr="00CE32CB">
        <w:rPr>
          <w:szCs w:val="24"/>
          <w:lang w:val="fo-FO"/>
        </w:rPr>
        <w:t>Uppskotið verður</w:t>
      </w:r>
      <w:r>
        <w:rPr>
          <w:szCs w:val="24"/>
          <w:lang w:val="fo-FO"/>
        </w:rPr>
        <w:t xml:space="preserve"> </w:t>
      </w:r>
      <w:r w:rsidRPr="00CE32CB">
        <w:rPr>
          <w:szCs w:val="24"/>
          <w:lang w:val="fo-FO"/>
        </w:rPr>
        <w:t>ikki mett at hava aðrar avleiðingar enn tær, sum eru nevndar omanfyri.</w:t>
      </w:r>
    </w:p>
    <w:p w14:paraId="761AE5CF" w14:textId="77777777" w:rsidR="00CE32CB" w:rsidRDefault="00CE32CB" w:rsidP="00B05B61">
      <w:pPr>
        <w:spacing w:after="0" w:line="240" w:lineRule="auto"/>
        <w:jc w:val="both"/>
        <w:rPr>
          <w:szCs w:val="24"/>
          <w:lang w:val="fo-FO"/>
        </w:rPr>
      </w:pPr>
    </w:p>
    <w:p w14:paraId="59F29CF0" w14:textId="77777777" w:rsidR="009D3739" w:rsidRPr="00BF46D7" w:rsidRDefault="009D3739" w:rsidP="00B05B61">
      <w:pPr>
        <w:spacing w:after="0" w:line="240" w:lineRule="auto"/>
        <w:jc w:val="both"/>
        <w:rPr>
          <w:szCs w:val="24"/>
          <w:lang w:val="fo-FO"/>
        </w:rPr>
      </w:pPr>
    </w:p>
    <w:p w14:paraId="4B7B9407" w14:textId="77777777" w:rsidR="00BF46D7" w:rsidRPr="00BF46D7" w:rsidRDefault="00BF46D7" w:rsidP="00B05B61">
      <w:pPr>
        <w:spacing w:after="0" w:line="240" w:lineRule="auto"/>
        <w:jc w:val="both"/>
        <w:rPr>
          <w:b/>
          <w:szCs w:val="24"/>
          <w:lang w:val="fo-FO"/>
        </w:rPr>
      </w:pPr>
      <w:r w:rsidRPr="00BF46D7">
        <w:rPr>
          <w:b/>
          <w:szCs w:val="24"/>
          <w:lang w:val="fo-FO"/>
        </w:rPr>
        <w:t>2.17. Talvan: Yvirlit yvir avleiðingarnar av lógaruppskotinum</w:t>
      </w:r>
    </w:p>
    <w:p w14:paraId="6EC1DECD" w14:textId="77777777" w:rsidR="00BF46D7" w:rsidRPr="00BF46D7" w:rsidRDefault="00BF46D7" w:rsidP="00B05B61">
      <w:pPr>
        <w:spacing w:after="0" w:line="240" w:lineRule="auto"/>
        <w:jc w:val="both"/>
        <w:rPr>
          <w:szCs w:val="24"/>
          <w:lang w:val="fo-FO"/>
        </w:rPr>
      </w:pPr>
    </w:p>
    <w:p w14:paraId="503F4794" w14:textId="77777777" w:rsidR="00BF46D7" w:rsidRPr="00BF46D7" w:rsidRDefault="00BF46D7" w:rsidP="00B05B61">
      <w:pPr>
        <w:spacing w:after="0" w:line="240" w:lineRule="auto"/>
        <w:rPr>
          <w:bCs/>
          <w:color w:val="000000"/>
          <w:szCs w:val="24"/>
          <w:lang w:val="fo-FO"/>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BF46D7" w:rsidRPr="00BF46D7" w14:paraId="79758470" w14:textId="77777777" w:rsidTr="008E3C08">
        <w:trPr>
          <w:trHeight w:val="690"/>
        </w:trPr>
        <w:tc>
          <w:tcPr>
            <w:tcW w:w="1522" w:type="dxa"/>
            <w:shd w:val="clear" w:color="auto" w:fill="auto"/>
          </w:tcPr>
          <w:p w14:paraId="26A9D035" w14:textId="77777777" w:rsidR="00BF46D7" w:rsidRPr="00BF46D7" w:rsidRDefault="00BF46D7" w:rsidP="00B05B61">
            <w:pPr>
              <w:spacing w:after="0" w:line="240" w:lineRule="auto"/>
              <w:contextualSpacing/>
              <w:rPr>
                <w:b/>
                <w:bCs/>
                <w:sz w:val="20"/>
                <w:szCs w:val="20"/>
                <w:lang w:val="fo-FO"/>
              </w:rPr>
            </w:pPr>
          </w:p>
        </w:tc>
        <w:tc>
          <w:tcPr>
            <w:tcW w:w="1522" w:type="dxa"/>
            <w:shd w:val="clear" w:color="auto" w:fill="auto"/>
          </w:tcPr>
          <w:p w14:paraId="5BA55A1E" w14:textId="77777777" w:rsidR="00BF46D7" w:rsidRPr="00B05B61" w:rsidRDefault="00BF46D7" w:rsidP="00B05B61">
            <w:pPr>
              <w:spacing w:after="0" w:line="240" w:lineRule="auto"/>
              <w:rPr>
                <w:sz w:val="20"/>
                <w:lang w:val="fo-FO"/>
              </w:rPr>
            </w:pPr>
            <w:r w:rsidRPr="00B05B61">
              <w:rPr>
                <w:sz w:val="20"/>
                <w:lang w:val="fo-FO"/>
              </w:rPr>
              <w:t>Fyri landið ella landsmyndug-leikar</w:t>
            </w:r>
          </w:p>
        </w:tc>
        <w:tc>
          <w:tcPr>
            <w:tcW w:w="1523" w:type="dxa"/>
            <w:shd w:val="clear" w:color="auto" w:fill="auto"/>
          </w:tcPr>
          <w:p w14:paraId="717F1B12" w14:textId="77777777" w:rsidR="00BF46D7" w:rsidRPr="00B05B61" w:rsidRDefault="00BF46D7" w:rsidP="00B05B61">
            <w:pPr>
              <w:spacing w:after="0" w:line="240" w:lineRule="auto"/>
              <w:contextualSpacing/>
              <w:rPr>
                <w:sz w:val="20"/>
                <w:lang w:val="fo-FO"/>
              </w:rPr>
            </w:pPr>
            <w:r w:rsidRPr="00B05B61">
              <w:rPr>
                <w:sz w:val="20"/>
                <w:lang w:val="fo-FO"/>
              </w:rPr>
              <w:t>Fyri kommunalar myndugleikar</w:t>
            </w:r>
          </w:p>
        </w:tc>
        <w:tc>
          <w:tcPr>
            <w:tcW w:w="1522" w:type="dxa"/>
            <w:shd w:val="clear" w:color="auto" w:fill="auto"/>
          </w:tcPr>
          <w:p w14:paraId="343E6A24" w14:textId="77777777" w:rsidR="00BF46D7" w:rsidRPr="00B05B61" w:rsidRDefault="00BF46D7" w:rsidP="00B05B61">
            <w:pPr>
              <w:spacing w:after="0" w:line="240" w:lineRule="auto"/>
              <w:contextualSpacing/>
              <w:rPr>
                <w:sz w:val="20"/>
                <w:lang w:val="fo-FO"/>
              </w:rPr>
            </w:pPr>
            <w:r w:rsidRPr="00B05B61">
              <w:rPr>
                <w:sz w:val="20"/>
                <w:lang w:val="fo-FO"/>
              </w:rPr>
              <w:t>Fyri pláss ella øki í landinum</w:t>
            </w:r>
          </w:p>
        </w:tc>
        <w:tc>
          <w:tcPr>
            <w:tcW w:w="1522" w:type="dxa"/>
            <w:shd w:val="clear" w:color="auto" w:fill="auto"/>
          </w:tcPr>
          <w:p w14:paraId="597AB06F" w14:textId="77777777" w:rsidR="00BF46D7" w:rsidRPr="00B05B61" w:rsidRDefault="00BF46D7" w:rsidP="00B05B61">
            <w:pPr>
              <w:spacing w:after="0" w:line="240" w:lineRule="auto"/>
              <w:contextualSpacing/>
              <w:rPr>
                <w:sz w:val="20"/>
                <w:lang w:val="fo-FO"/>
              </w:rPr>
            </w:pPr>
            <w:r w:rsidRPr="00B05B61">
              <w:rPr>
                <w:sz w:val="20"/>
                <w:lang w:val="fo-FO"/>
              </w:rPr>
              <w:t>Fyri ávísar samfelags-bólkar ella felagsskapir</w:t>
            </w:r>
          </w:p>
        </w:tc>
        <w:tc>
          <w:tcPr>
            <w:tcW w:w="1523" w:type="dxa"/>
            <w:shd w:val="clear" w:color="auto" w:fill="auto"/>
          </w:tcPr>
          <w:p w14:paraId="52CF657E" w14:textId="77777777" w:rsidR="00BF46D7" w:rsidRPr="00B05B61" w:rsidRDefault="00BF46D7" w:rsidP="00B05B61">
            <w:pPr>
              <w:spacing w:after="0" w:line="240" w:lineRule="auto"/>
              <w:contextualSpacing/>
              <w:rPr>
                <w:sz w:val="20"/>
                <w:lang w:val="fo-FO"/>
              </w:rPr>
            </w:pPr>
            <w:r w:rsidRPr="00B05B61">
              <w:rPr>
                <w:sz w:val="20"/>
                <w:lang w:val="fo-FO"/>
              </w:rPr>
              <w:t>Fyri vinnuna</w:t>
            </w:r>
          </w:p>
        </w:tc>
      </w:tr>
      <w:tr w:rsidR="00BF46D7" w:rsidRPr="00BF46D7" w14:paraId="32EE6121" w14:textId="77777777" w:rsidTr="008E3C08">
        <w:trPr>
          <w:trHeight w:val="690"/>
        </w:trPr>
        <w:tc>
          <w:tcPr>
            <w:tcW w:w="1522" w:type="dxa"/>
            <w:shd w:val="clear" w:color="auto" w:fill="auto"/>
            <w:vAlign w:val="center"/>
          </w:tcPr>
          <w:p w14:paraId="2C66AB95" w14:textId="77777777" w:rsidR="00BF46D7" w:rsidRPr="00B05B61" w:rsidRDefault="00BF46D7" w:rsidP="00B05B61">
            <w:pPr>
              <w:spacing w:after="0" w:line="240" w:lineRule="auto"/>
              <w:contextualSpacing/>
              <w:rPr>
                <w:sz w:val="20"/>
                <w:lang w:val="fo-FO"/>
              </w:rPr>
            </w:pPr>
            <w:r w:rsidRPr="00B05B61">
              <w:rPr>
                <w:sz w:val="20"/>
                <w:lang w:val="fo-FO"/>
              </w:rPr>
              <w:t>Fíggjarligar ella búskaparligar avleiðingar</w:t>
            </w:r>
          </w:p>
        </w:tc>
        <w:tc>
          <w:tcPr>
            <w:tcW w:w="1522" w:type="dxa"/>
            <w:shd w:val="clear" w:color="auto" w:fill="auto"/>
            <w:vAlign w:val="center"/>
          </w:tcPr>
          <w:p w14:paraId="79D1465F" w14:textId="073D8D04" w:rsidR="00BF46D7" w:rsidRPr="00BF46D7" w:rsidRDefault="00CE32CB" w:rsidP="00B05B61">
            <w:pPr>
              <w:spacing w:after="0" w:line="240" w:lineRule="auto"/>
              <w:contextualSpacing/>
              <w:jc w:val="center"/>
              <w:rPr>
                <w:bCs/>
                <w:sz w:val="20"/>
                <w:szCs w:val="20"/>
                <w:lang w:val="fo-FO"/>
              </w:rPr>
            </w:pPr>
            <w:r>
              <w:rPr>
                <w:bCs/>
                <w:sz w:val="20"/>
                <w:szCs w:val="20"/>
                <w:lang w:val="fo-FO"/>
              </w:rPr>
              <w:t>Ja</w:t>
            </w:r>
          </w:p>
        </w:tc>
        <w:tc>
          <w:tcPr>
            <w:tcW w:w="1523" w:type="dxa"/>
            <w:shd w:val="clear" w:color="auto" w:fill="auto"/>
            <w:vAlign w:val="center"/>
          </w:tcPr>
          <w:p w14:paraId="6C85A325" w14:textId="0FF3C6B4" w:rsidR="00BF46D7" w:rsidRPr="00BF46D7" w:rsidRDefault="00850CFB" w:rsidP="00B05B61">
            <w:pPr>
              <w:spacing w:after="0" w:line="240" w:lineRule="auto"/>
              <w:contextualSpacing/>
              <w:jc w:val="center"/>
              <w:rPr>
                <w:bCs/>
                <w:sz w:val="20"/>
                <w:szCs w:val="20"/>
                <w:lang w:val="fo-FO"/>
              </w:rPr>
            </w:pPr>
            <w:r>
              <w:rPr>
                <w:bCs/>
                <w:sz w:val="20"/>
                <w:szCs w:val="20"/>
                <w:lang w:val="fo-FO"/>
              </w:rPr>
              <w:t>Ja</w:t>
            </w:r>
          </w:p>
        </w:tc>
        <w:tc>
          <w:tcPr>
            <w:tcW w:w="1522" w:type="dxa"/>
            <w:shd w:val="clear" w:color="auto" w:fill="auto"/>
            <w:vAlign w:val="center"/>
          </w:tcPr>
          <w:p w14:paraId="5DD0AD5D" w14:textId="7E339A29" w:rsidR="00BF46D7" w:rsidRPr="00BF46D7" w:rsidRDefault="00412931" w:rsidP="00B05B61">
            <w:pPr>
              <w:spacing w:after="0" w:line="240" w:lineRule="auto"/>
              <w:contextualSpacing/>
              <w:jc w:val="center"/>
              <w:rPr>
                <w:bCs/>
                <w:sz w:val="20"/>
                <w:szCs w:val="20"/>
                <w:lang w:val="fo-FO"/>
              </w:rPr>
            </w:pPr>
            <w:r>
              <w:rPr>
                <w:bCs/>
                <w:sz w:val="20"/>
                <w:szCs w:val="20"/>
                <w:lang w:val="fo-FO"/>
              </w:rPr>
              <w:t>Ja</w:t>
            </w:r>
          </w:p>
        </w:tc>
        <w:tc>
          <w:tcPr>
            <w:tcW w:w="1522" w:type="dxa"/>
            <w:shd w:val="clear" w:color="auto" w:fill="auto"/>
            <w:vAlign w:val="center"/>
          </w:tcPr>
          <w:p w14:paraId="2997AA6B" w14:textId="6928778E" w:rsidR="00BF46D7" w:rsidRPr="00BF46D7" w:rsidRDefault="00CE32CB" w:rsidP="00B05B61">
            <w:pPr>
              <w:spacing w:after="0" w:line="240" w:lineRule="auto"/>
              <w:contextualSpacing/>
              <w:jc w:val="center"/>
              <w:rPr>
                <w:bCs/>
                <w:sz w:val="20"/>
                <w:szCs w:val="20"/>
                <w:lang w:val="fo-FO"/>
              </w:rPr>
            </w:pPr>
            <w:r>
              <w:rPr>
                <w:bCs/>
                <w:sz w:val="20"/>
                <w:szCs w:val="20"/>
                <w:lang w:val="fo-FO"/>
              </w:rPr>
              <w:t>Nei</w:t>
            </w:r>
          </w:p>
        </w:tc>
        <w:tc>
          <w:tcPr>
            <w:tcW w:w="1523" w:type="dxa"/>
            <w:shd w:val="clear" w:color="auto" w:fill="auto"/>
            <w:vAlign w:val="center"/>
          </w:tcPr>
          <w:p w14:paraId="3A719859" w14:textId="679FDB99" w:rsidR="00BF46D7" w:rsidRPr="00BF46D7" w:rsidRDefault="00850CFB" w:rsidP="00B05B61">
            <w:pPr>
              <w:spacing w:after="0" w:line="240" w:lineRule="auto"/>
              <w:contextualSpacing/>
              <w:jc w:val="center"/>
              <w:rPr>
                <w:bCs/>
                <w:sz w:val="20"/>
                <w:szCs w:val="20"/>
                <w:lang w:val="fo-FO"/>
              </w:rPr>
            </w:pPr>
            <w:r>
              <w:rPr>
                <w:bCs/>
                <w:sz w:val="20"/>
                <w:szCs w:val="20"/>
                <w:lang w:val="fo-FO"/>
              </w:rPr>
              <w:t>Nei</w:t>
            </w:r>
          </w:p>
        </w:tc>
      </w:tr>
      <w:tr w:rsidR="00BF46D7" w:rsidRPr="00BF46D7" w14:paraId="35D5B5A2" w14:textId="77777777" w:rsidTr="008E3C08">
        <w:trPr>
          <w:trHeight w:val="690"/>
        </w:trPr>
        <w:tc>
          <w:tcPr>
            <w:tcW w:w="1522" w:type="dxa"/>
            <w:shd w:val="clear" w:color="auto" w:fill="auto"/>
            <w:vAlign w:val="center"/>
          </w:tcPr>
          <w:p w14:paraId="7E10FDCF" w14:textId="77777777" w:rsidR="00BF46D7" w:rsidRPr="00B05B61" w:rsidRDefault="00BF46D7" w:rsidP="00B05B61">
            <w:pPr>
              <w:spacing w:after="0" w:line="240" w:lineRule="auto"/>
              <w:contextualSpacing/>
              <w:rPr>
                <w:sz w:val="20"/>
                <w:lang w:val="fo-FO"/>
              </w:rPr>
            </w:pPr>
            <w:r w:rsidRPr="00B05B61">
              <w:rPr>
                <w:sz w:val="20"/>
                <w:lang w:val="fo-FO"/>
              </w:rPr>
              <w:t>Umsitingarligar avleiðingar</w:t>
            </w:r>
          </w:p>
        </w:tc>
        <w:tc>
          <w:tcPr>
            <w:tcW w:w="1522" w:type="dxa"/>
            <w:shd w:val="clear" w:color="auto" w:fill="auto"/>
            <w:vAlign w:val="center"/>
          </w:tcPr>
          <w:p w14:paraId="6CE5F1B2" w14:textId="15A2A054" w:rsidR="00BF46D7" w:rsidRPr="00B05B61" w:rsidRDefault="00CE32CB" w:rsidP="00B05B61">
            <w:pPr>
              <w:spacing w:after="0" w:line="240" w:lineRule="auto"/>
              <w:contextualSpacing/>
              <w:jc w:val="center"/>
              <w:rPr>
                <w:sz w:val="20"/>
                <w:lang w:val="fo-FO"/>
              </w:rPr>
            </w:pPr>
            <w:r>
              <w:rPr>
                <w:sz w:val="20"/>
                <w:lang w:val="fo-FO"/>
              </w:rPr>
              <w:t>Ja</w:t>
            </w:r>
          </w:p>
        </w:tc>
        <w:tc>
          <w:tcPr>
            <w:tcW w:w="1523" w:type="dxa"/>
            <w:shd w:val="clear" w:color="auto" w:fill="auto"/>
            <w:vAlign w:val="center"/>
          </w:tcPr>
          <w:p w14:paraId="4C763179" w14:textId="542472EE" w:rsidR="00BF46D7" w:rsidRPr="00B05B61" w:rsidRDefault="00CE32CB" w:rsidP="00B05B61">
            <w:pPr>
              <w:spacing w:after="0" w:line="240" w:lineRule="auto"/>
              <w:contextualSpacing/>
              <w:jc w:val="center"/>
              <w:rPr>
                <w:sz w:val="20"/>
                <w:lang w:val="fo-FO"/>
              </w:rPr>
            </w:pPr>
            <w:r>
              <w:rPr>
                <w:sz w:val="20"/>
                <w:lang w:val="fo-FO"/>
              </w:rPr>
              <w:t>Ja</w:t>
            </w:r>
          </w:p>
        </w:tc>
        <w:tc>
          <w:tcPr>
            <w:tcW w:w="1522" w:type="dxa"/>
            <w:shd w:val="clear" w:color="auto" w:fill="auto"/>
            <w:vAlign w:val="center"/>
          </w:tcPr>
          <w:p w14:paraId="6D54D9E1" w14:textId="406AB9C9" w:rsidR="00BF46D7" w:rsidRPr="00B05B61" w:rsidRDefault="00CE32CB" w:rsidP="00B05B61">
            <w:pPr>
              <w:spacing w:after="0" w:line="240" w:lineRule="auto"/>
              <w:contextualSpacing/>
              <w:jc w:val="center"/>
              <w:rPr>
                <w:sz w:val="20"/>
                <w:lang w:val="fo-FO"/>
              </w:rPr>
            </w:pPr>
            <w:r>
              <w:rPr>
                <w:sz w:val="20"/>
                <w:lang w:val="fo-FO"/>
              </w:rPr>
              <w:t>Ja</w:t>
            </w:r>
          </w:p>
        </w:tc>
        <w:tc>
          <w:tcPr>
            <w:tcW w:w="1522" w:type="dxa"/>
            <w:shd w:val="clear" w:color="auto" w:fill="auto"/>
            <w:vAlign w:val="center"/>
          </w:tcPr>
          <w:p w14:paraId="6B376E4B" w14:textId="18FB550D" w:rsidR="00BF46D7" w:rsidRPr="00B05B61" w:rsidRDefault="00CE32CB" w:rsidP="00B05B61">
            <w:pPr>
              <w:spacing w:after="0" w:line="240" w:lineRule="auto"/>
              <w:contextualSpacing/>
              <w:jc w:val="center"/>
              <w:rPr>
                <w:sz w:val="20"/>
                <w:lang w:val="fo-FO"/>
              </w:rPr>
            </w:pPr>
            <w:r>
              <w:rPr>
                <w:sz w:val="20"/>
                <w:lang w:val="fo-FO"/>
              </w:rPr>
              <w:t>Ja</w:t>
            </w:r>
          </w:p>
        </w:tc>
        <w:tc>
          <w:tcPr>
            <w:tcW w:w="1523" w:type="dxa"/>
            <w:shd w:val="clear" w:color="auto" w:fill="auto"/>
            <w:vAlign w:val="center"/>
          </w:tcPr>
          <w:p w14:paraId="488F2044" w14:textId="47883609" w:rsidR="00BF46D7" w:rsidRPr="00B05B61" w:rsidRDefault="00CE32CB" w:rsidP="00B05B61">
            <w:pPr>
              <w:spacing w:after="0" w:line="240" w:lineRule="auto"/>
              <w:contextualSpacing/>
              <w:jc w:val="center"/>
              <w:rPr>
                <w:sz w:val="20"/>
                <w:lang w:val="fo-FO"/>
              </w:rPr>
            </w:pPr>
            <w:r>
              <w:rPr>
                <w:sz w:val="20"/>
                <w:lang w:val="fo-FO"/>
              </w:rPr>
              <w:t>Nei</w:t>
            </w:r>
          </w:p>
        </w:tc>
      </w:tr>
      <w:tr w:rsidR="00BF46D7" w:rsidRPr="00BF46D7" w14:paraId="21ADC82C" w14:textId="77777777" w:rsidTr="008E3C08">
        <w:trPr>
          <w:trHeight w:val="690"/>
        </w:trPr>
        <w:tc>
          <w:tcPr>
            <w:tcW w:w="1522" w:type="dxa"/>
            <w:shd w:val="clear" w:color="auto" w:fill="auto"/>
            <w:vAlign w:val="center"/>
          </w:tcPr>
          <w:p w14:paraId="62A5D507" w14:textId="77777777" w:rsidR="00BF46D7" w:rsidRPr="00B05B61" w:rsidRDefault="00BF46D7" w:rsidP="00B05B61">
            <w:pPr>
              <w:spacing w:after="0" w:line="240" w:lineRule="auto"/>
              <w:contextualSpacing/>
              <w:rPr>
                <w:sz w:val="20"/>
                <w:lang w:val="fo-FO"/>
              </w:rPr>
            </w:pPr>
            <w:r w:rsidRPr="00B05B61">
              <w:rPr>
                <w:sz w:val="20"/>
                <w:lang w:val="fo-FO"/>
              </w:rPr>
              <w:t>Umhvørvisligar avleiðingar</w:t>
            </w:r>
          </w:p>
        </w:tc>
        <w:tc>
          <w:tcPr>
            <w:tcW w:w="1522" w:type="dxa"/>
            <w:shd w:val="clear" w:color="auto" w:fill="auto"/>
            <w:vAlign w:val="center"/>
          </w:tcPr>
          <w:p w14:paraId="0EEA4AD5" w14:textId="53DED858" w:rsidR="00BF46D7" w:rsidRPr="00B05B61" w:rsidRDefault="00CE32CB" w:rsidP="00B05B61">
            <w:pPr>
              <w:spacing w:after="0" w:line="240" w:lineRule="auto"/>
              <w:contextualSpacing/>
              <w:jc w:val="center"/>
              <w:rPr>
                <w:sz w:val="20"/>
                <w:lang w:val="fo-FO"/>
              </w:rPr>
            </w:pPr>
            <w:r>
              <w:rPr>
                <w:sz w:val="20"/>
                <w:lang w:val="fo-FO"/>
              </w:rPr>
              <w:t>Nei</w:t>
            </w:r>
          </w:p>
        </w:tc>
        <w:tc>
          <w:tcPr>
            <w:tcW w:w="1523" w:type="dxa"/>
            <w:shd w:val="clear" w:color="auto" w:fill="auto"/>
            <w:vAlign w:val="center"/>
          </w:tcPr>
          <w:p w14:paraId="4D458653" w14:textId="487C6EC6" w:rsidR="00BF46D7" w:rsidRPr="00B05B61" w:rsidRDefault="00CE32CB" w:rsidP="00B05B61">
            <w:pPr>
              <w:spacing w:after="0" w:line="240" w:lineRule="auto"/>
              <w:contextualSpacing/>
              <w:jc w:val="center"/>
              <w:rPr>
                <w:sz w:val="20"/>
                <w:lang w:val="fo-FO"/>
              </w:rPr>
            </w:pPr>
            <w:r>
              <w:rPr>
                <w:sz w:val="20"/>
                <w:lang w:val="fo-FO"/>
              </w:rPr>
              <w:t>Nei</w:t>
            </w:r>
          </w:p>
        </w:tc>
        <w:tc>
          <w:tcPr>
            <w:tcW w:w="1522" w:type="dxa"/>
            <w:shd w:val="clear" w:color="auto" w:fill="auto"/>
            <w:vAlign w:val="center"/>
          </w:tcPr>
          <w:p w14:paraId="7F3EF9C9" w14:textId="6B1CB7F0" w:rsidR="00BF46D7" w:rsidRPr="00B05B61" w:rsidRDefault="00CE32CB" w:rsidP="00B05B61">
            <w:pPr>
              <w:spacing w:after="0" w:line="240" w:lineRule="auto"/>
              <w:contextualSpacing/>
              <w:jc w:val="center"/>
              <w:rPr>
                <w:sz w:val="20"/>
                <w:lang w:val="fo-FO"/>
              </w:rPr>
            </w:pPr>
            <w:r>
              <w:rPr>
                <w:sz w:val="20"/>
                <w:lang w:val="fo-FO"/>
              </w:rPr>
              <w:t>Nei</w:t>
            </w:r>
          </w:p>
        </w:tc>
        <w:tc>
          <w:tcPr>
            <w:tcW w:w="1522" w:type="dxa"/>
            <w:shd w:val="clear" w:color="auto" w:fill="auto"/>
            <w:vAlign w:val="center"/>
          </w:tcPr>
          <w:p w14:paraId="2E0199D8" w14:textId="7DFA9252" w:rsidR="00BF46D7" w:rsidRPr="00B05B61" w:rsidRDefault="00CE32CB" w:rsidP="00B05B61">
            <w:pPr>
              <w:spacing w:after="0" w:line="240" w:lineRule="auto"/>
              <w:contextualSpacing/>
              <w:jc w:val="center"/>
              <w:rPr>
                <w:sz w:val="20"/>
                <w:lang w:val="fo-FO"/>
              </w:rPr>
            </w:pPr>
            <w:r>
              <w:rPr>
                <w:sz w:val="20"/>
                <w:lang w:val="fo-FO"/>
              </w:rPr>
              <w:t>Nei</w:t>
            </w:r>
          </w:p>
        </w:tc>
        <w:tc>
          <w:tcPr>
            <w:tcW w:w="1523" w:type="dxa"/>
            <w:shd w:val="clear" w:color="auto" w:fill="auto"/>
            <w:vAlign w:val="center"/>
          </w:tcPr>
          <w:p w14:paraId="0E77B6D5" w14:textId="114A4BEF" w:rsidR="00BF46D7" w:rsidRPr="00B05B61" w:rsidRDefault="00CE32CB" w:rsidP="00B05B61">
            <w:pPr>
              <w:spacing w:after="0" w:line="240" w:lineRule="auto"/>
              <w:contextualSpacing/>
              <w:jc w:val="center"/>
              <w:rPr>
                <w:sz w:val="20"/>
                <w:lang w:val="fo-FO"/>
              </w:rPr>
            </w:pPr>
            <w:r>
              <w:rPr>
                <w:sz w:val="20"/>
                <w:lang w:val="fo-FO"/>
              </w:rPr>
              <w:t>Nei</w:t>
            </w:r>
          </w:p>
        </w:tc>
      </w:tr>
      <w:tr w:rsidR="00BF46D7" w:rsidRPr="00BF46D7" w14:paraId="013A1FA2" w14:textId="77777777" w:rsidTr="008E3C08">
        <w:trPr>
          <w:trHeight w:val="690"/>
        </w:trPr>
        <w:tc>
          <w:tcPr>
            <w:tcW w:w="1522" w:type="dxa"/>
            <w:shd w:val="clear" w:color="auto" w:fill="auto"/>
            <w:vAlign w:val="center"/>
          </w:tcPr>
          <w:p w14:paraId="22E4FBB4" w14:textId="77777777" w:rsidR="00BF46D7" w:rsidRPr="00B05B61" w:rsidRDefault="00BF46D7" w:rsidP="00B05B61">
            <w:pPr>
              <w:spacing w:after="0" w:line="240" w:lineRule="auto"/>
              <w:contextualSpacing/>
              <w:rPr>
                <w:sz w:val="20"/>
                <w:lang w:val="fo-FO"/>
              </w:rPr>
            </w:pPr>
            <w:r w:rsidRPr="00B05B61">
              <w:rPr>
                <w:sz w:val="20"/>
                <w:lang w:val="fo-FO"/>
              </w:rPr>
              <w:t>Avleiðingar í mun til altjóða avtalur og reglur</w:t>
            </w:r>
          </w:p>
        </w:tc>
        <w:tc>
          <w:tcPr>
            <w:tcW w:w="1522" w:type="dxa"/>
            <w:tcBorders>
              <w:bottom w:val="single" w:sz="4" w:space="0" w:color="auto"/>
            </w:tcBorders>
            <w:shd w:val="clear" w:color="auto" w:fill="auto"/>
            <w:vAlign w:val="center"/>
          </w:tcPr>
          <w:p w14:paraId="4598F950" w14:textId="5E0AC804" w:rsidR="00BF46D7" w:rsidRPr="00B05B61" w:rsidRDefault="00CE32CB" w:rsidP="00B05B61">
            <w:pPr>
              <w:spacing w:after="0" w:line="240" w:lineRule="auto"/>
              <w:contextualSpacing/>
              <w:jc w:val="center"/>
              <w:rPr>
                <w:sz w:val="20"/>
                <w:lang w:val="fo-FO"/>
              </w:rPr>
            </w:pPr>
            <w:r>
              <w:rPr>
                <w:sz w:val="20"/>
                <w:lang w:val="fo-FO"/>
              </w:rPr>
              <w:t>Nei</w:t>
            </w:r>
          </w:p>
        </w:tc>
        <w:tc>
          <w:tcPr>
            <w:tcW w:w="1523" w:type="dxa"/>
            <w:tcBorders>
              <w:bottom w:val="single" w:sz="4" w:space="0" w:color="auto"/>
            </w:tcBorders>
            <w:shd w:val="clear" w:color="auto" w:fill="auto"/>
            <w:vAlign w:val="center"/>
          </w:tcPr>
          <w:p w14:paraId="18A1527F" w14:textId="474B0243" w:rsidR="00BF46D7" w:rsidRPr="00B05B61" w:rsidRDefault="00CE32CB" w:rsidP="00B05B61">
            <w:pPr>
              <w:spacing w:after="0" w:line="240" w:lineRule="auto"/>
              <w:contextualSpacing/>
              <w:jc w:val="center"/>
              <w:rPr>
                <w:sz w:val="20"/>
                <w:lang w:val="fo-FO"/>
              </w:rPr>
            </w:pPr>
            <w:r>
              <w:rPr>
                <w:sz w:val="20"/>
                <w:lang w:val="fo-FO"/>
              </w:rPr>
              <w:t>Nei</w:t>
            </w:r>
          </w:p>
        </w:tc>
        <w:tc>
          <w:tcPr>
            <w:tcW w:w="1522" w:type="dxa"/>
            <w:tcBorders>
              <w:bottom w:val="single" w:sz="4" w:space="0" w:color="auto"/>
            </w:tcBorders>
            <w:shd w:val="clear" w:color="auto" w:fill="auto"/>
            <w:vAlign w:val="center"/>
          </w:tcPr>
          <w:p w14:paraId="7FE6A335" w14:textId="1BF96C49" w:rsidR="00BF46D7" w:rsidRPr="00B05B61" w:rsidRDefault="00CE32CB" w:rsidP="00B05B61">
            <w:pPr>
              <w:spacing w:after="0" w:line="240" w:lineRule="auto"/>
              <w:contextualSpacing/>
              <w:jc w:val="center"/>
              <w:rPr>
                <w:sz w:val="20"/>
                <w:lang w:val="fo-FO"/>
              </w:rPr>
            </w:pPr>
            <w:r>
              <w:rPr>
                <w:sz w:val="20"/>
                <w:lang w:val="fo-FO"/>
              </w:rPr>
              <w:t>Nei</w:t>
            </w:r>
          </w:p>
        </w:tc>
        <w:tc>
          <w:tcPr>
            <w:tcW w:w="1522" w:type="dxa"/>
            <w:shd w:val="clear" w:color="auto" w:fill="auto"/>
            <w:vAlign w:val="center"/>
          </w:tcPr>
          <w:p w14:paraId="4E10169F" w14:textId="7D64DB7A" w:rsidR="00BF46D7" w:rsidRPr="00B05B61" w:rsidRDefault="00CE32CB" w:rsidP="00B05B61">
            <w:pPr>
              <w:spacing w:after="0" w:line="240" w:lineRule="auto"/>
              <w:contextualSpacing/>
              <w:jc w:val="center"/>
              <w:rPr>
                <w:sz w:val="20"/>
                <w:lang w:val="fo-FO"/>
              </w:rPr>
            </w:pPr>
            <w:r>
              <w:rPr>
                <w:sz w:val="20"/>
                <w:lang w:val="fo-FO"/>
              </w:rPr>
              <w:t>Nei</w:t>
            </w:r>
          </w:p>
        </w:tc>
        <w:tc>
          <w:tcPr>
            <w:tcW w:w="1523" w:type="dxa"/>
            <w:shd w:val="clear" w:color="auto" w:fill="auto"/>
            <w:vAlign w:val="center"/>
          </w:tcPr>
          <w:p w14:paraId="5A40C107" w14:textId="0F51CFAF" w:rsidR="00BF46D7" w:rsidRPr="00B05B61" w:rsidRDefault="00CE32CB" w:rsidP="00B05B61">
            <w:pPr>
              <w:spacing w:after="0" w:line="240" w:lineRule="auto"/>
              <w:contextualSpacing/>
              <w:jc w:val="center"/>
              <w:rPr>
                <w:sz w:val="20"/>
                <w:lang w:val="fo-FO"/>
              </w:rPr>
            </w:pPr>
            <w:r>
              <w:rPr>
                <w:sz w:val="20"/>
                <w:lang w:val="fo-FO"/>
              </w:rPr>
              <w:t>Nei</w:t>
            </w:r>
          </w:p>
        </w:tc>
      </w:tr>
      <w:tr w:rsidR="00BF46D7" w:rsidRPr="00BF46D7" w14:paraId="68648CE0" w14:textId="77777777" w:rsidTr="006021BE">
        <w:trPr>
          <w:trHeight w:val="690"/>
        </w:trPr>
        <w:tc>
          <w:tcPr>
            <w:tcW w:w="1522" w:type="dxa"/>
            <w:shd w:val="clear" w:color="auto" w:fill="auto"/>
            <w:vAlign w:val="center"/>
          </w:tcPr>
          <w:p w14:paraId="2DDC4785" w14:textId="77777777" w:rsidR="00BF46D7" w:rsidRPr="00B05B61" w:rsidRDefault="00BF46D7" w:rsidP="00B05B61">
            <w:pPr>
              <w:spacing w:after="0" w:line="240" w:lineRule="auto"/>
              <w:contextualSpacing/>
              <w:rPr>
                <w:sz w:val="20"/>
                <w:lang w:val="fo-FO"/>
              </w:rPr>
            </w:pPr>
            <w:r w:rsidRPr="00B05B61">
              <w:rPr>
                <w:sz w:val="20"/>
                <w:lang w:val="fo-FO"/>
              </w:rPr>
              <w:t>Sosialar avleiðingar</w:t>
            </w:r>
          </w:p>
        </w:tc>
        <w:tc>
          <w:tcPr>
            <w:tcW w:w="3045" w:type="dxa"/>
            <w:gridSpan w:val="2"/>
            <w:tcBorders>
              <w:bottom w:val="single" w:sz="4" w:space="0" w:color="auto"/>
            </w:tcBorders>
            <w:shd w:val="clear" w:color="auto" w:fill="000000"/>
            <w:vAlign w:val="center"/>
          </w:tcPr>
          <w:p w14:paraId="76B07F99" w14:textId="77777777" w:rsidR="00BF46D7" w:rsidRPr="00BF46D7" w:rsidRDefault="00BF46D7" w:rsidP="00B05B61">
            <w:pPr>
              <w:spacing w:after="0" w:line="240" w:lineRule="auto"/>
              <w:contextualSpacing/>
              <w:jc w:val="center"/>
              <w:rPr>
                <w:b/>
                <w:bCs/>
                <w:sz w:val="20"/>
                <w:szCs w:val="20"/>
                <w:lang w:val="fo-FO"/>
              </w:rPr>
            </w:pPr>
          </w:p>
        </w:tc>
        <w:tc>
          <w:tcPr>
            <w:tcW w:w="1522" w:type="dxa"/>
            <w:tcBorders>
              <w:bottom w:val="single" w:sz="4" w:space="0" w:color="auto"/>
            </w:tcBorders>
            <w:shd w:val="clear" w:color="auto" w:fill="auto"/>
            <w:vAlign w:val="center"/>
          </w:tcPr>
          <w:p w14:paraId="6C1C0475" w14:textId="5377A8EA" w:rsidR="00BF46D7" w:rsidRPr="00B05B61" w:rsidRDefault="00412931" w:rsidP="00B05B61">
            <w:pPr>
              <w:spacing w:after="0" w:line="240" w:lineRule="auto"/>
              <w:contextualSpacing/>
              <w:jc w:val="center"/>
              <w:rPr>
                <w:sz w:val="20"/>
                <w:lang w:val="fo-FO"/>
              </w:rPr>
            </w:pPr>
            <w:r w:rsidRPr="00412931">
              <w:rPr>
                <w:sz w:val="20"/>
                <w:lang w:val="fo-FO"/>
              </w:rPr>
              <w:t>Ja</w:t>
            </w:r>
          </w:p>
        </w:tc>
        <w:tc>
          <w:tcPr>
            <w:tcW w:w="1522" w:type="dxa"/>
            <w:shd w:val="clear" w:color="auto" w:fill="auto"/>
            <w:vAlign w:val="center"/>
          </w:tcPr>
          <w:p w14:paraId="09E3E615" w14:textId="3BDCC869" w:rsidR="00BF46D7" w:rsidRPr="00B05B61" w:rsidRDefault="00CE32CB" w:rsidP="00B05B61">
            <w:pPr>
              <w:spacing w:after="0" w:line="240" w:lineRule="auto"/>
              <w:contextualSpacing/>
              <w:jc w:val="center"/>
              <w:rPr>
                <w:sz w:val="20"/>
                <w:lang w:val="fo-FO"/>
              </w:rPr>
            </w:pPr>
            <w:r>
              <w:rPr>
                <w:sz w:val="20"/>
                <w:lang w:val="fo-FO"/>
              </w:rPr>
              <w:t>Nei</w:t>
            </w:r>
          </w:p>
        </w:tc>
        <w:tc>
          <w:tcPr>
            <w:tcW w:w="1523" w:type="dxa"/>
            <w:shd w:val="clear" w:color="auto" w:fill="000000"/>
            <w:vAlign w:val="center"/>
          </w:tcPr>
          <w:p w14:paraId="06FE6490" w14:textId="77777777" w:rsidR="00BF46D7" w:rsidRPr="00BF46D7" w:rsidRDefault="00BF46D7" w:rsidP="00B05B61">
            <w:pPr>
              <w:spacing w:after="0" w:line="240" w:lineRule="auto"/>
              <w:contextualSpacing/>
              <w:jc w:val="center"/>
              <w:rPr>
                <w:b/>
                <w:bCs/>
                <w:sz w:val="20"/>
                <w:szCs w:val="20"/>
                <w:lang w:val="fo-FO"/>
              </w:rPr>
            </w:pPr>
          </w:p>
        </w:tc>
      </w:tr>
    </w:tbl>
    <w:p w14:paraId="747D5FCA" w14:textId="77777777" w:rsidR="00BF46D7" w:rsidRPr="00BF46D7" w:rsidRDefault="00BF46D7" w:rsidP="00B05B61">
      <w:pPr>
        <w:spacing w:after="0" w:line="240" w:lineRule="auto"/>
        <w:rPr>
          <w:rFonts w:eastAsia="Times New Roman"/>
          <w:b/>
          <w:bCs/>
          <w:color w:val="000000"/>
          <w:szCs w:val="26"/>
          <w:lang w:val="fo-FO"/>
        </w:rPr>
      </w:pPr>
    </w:p>
    <w:p w14:paraId="08D0B03D" w14:textId="77777777" w:rsidR="00BF46D7" w:rsidRPr="00BF46D7" w:rsidRDefault="00BF46D7" w:rsidP="00B05B61">
      <w:pPr>
        <w:spacing w:after="0" w:line="240" w:lineRule="auto"/>
        <w:rPr>
          <w:rFonts w:eastAsia="Times New Roman"/>
          <w:b/>
          <w:bCs/>
          <w:color w:val="000000"/>
          <w:szCs w:val="26"/>
          <w:lang w:val="fo-FO"/>
        </w:rPr>
      </w:pPr>
    </w:p>
    <w:p w14:paraId="4905BE58" w14:textId="77777777" w:rsidR="00BF46D7" w:rsidRPr="00BF46D7" w:rsidRDefault="00BF46D7" w:rsidP="00B05B61">
      <w:pPr>
        <w:spacing w:after="0" w:line="240" w:lineRule="auto"/>
        <w:rPr>
          <w:rFonts w:eastAsia="Times New Roman"/>
          <w:b/>
          <w:bCs/>
          <w:color w:val="000000"/>
          <w:szCs w:val="26"/>
          <w:lang w:val="fo-FO"/>
        </w:rPr>
      </w:pPr>
      <w:r w:rsidRPr="00BF46D7">
        <w:rPr>
          <w:rFonts w:eastAsia="Times New Roman"/>
          <w:b/>
          <w:bCs/>
          <w:color w:val="000000"/>
          <w:szCs w:val="26"/>
          <w:lang w:val="fo-FO"/>
        </w:rPr>
        <w:br w:type="page"/>
      </w:r>
    </w:p>
    <w:p w14:paraId="7C6419EB" w14:textId="77777777" w:rsidR="00BF46D7" w:rsidRPr="00BF46D7" w:rsidRDefault="00BF46D7" w:rsidP="00B05B61">
      <w:pPr>
        <w:spacing w:after="0" w:line="240" w:lineRule="auto"/>
        <w:rPr>
          <w:rFonts w:eastAsia="Times New Roman"/>
          <w:b/>
          <w:bCs/>
          <w:color w:val="000000"/>
          <w:szCs w:val="26"/>
          <w:lang w:val="fo-FO"/>
        </w:rPr>
      </w:pPr>
      <w:r w:rsidRPr="00BF46D7">
        <w:rPr>
          <w:rFonts w:eastAsia="Times New Roman"/>
          <w:b/>
          <w:bCs/>
          <w:color w:val="000000"/>
          <w:szCs w:val="26"/>
          <w:lang w:val="fo-FO"/>
        </w:rPr>
        <w:lastRenderedPageBreak/>
        <w:t xml:space="preserve">Kapittul 3. </w:t>
      </w:r>
      <w:r w:rsidRPr="00BF46D7">
        <w:rPr>
          <w:b/>
          <w:lang w:val="fo-FO"/>
        </w:rPr>
        <w:t>Serligar viðmerkingar</w:t>
      </w:r>
    </w:p>
    <w:p w14:paraId="2743586A" w14:textId="77777777" w:rsidR="00BF46D7" w:rsidRDefault="00BF46D7" w:rsidP="00B05B61">
      <w:pPr>
        <w:spacing w:after="0" w:line="240" w:lineRule="auto"/>
        <w:rPr>
          <w:bCs/>
          <w:szCs w:val="24"/>
          <w:lang w:val="fo-FO"/>
        </w:rPr>
      </w:pPr>
    </w:p>
    <w:p w14:paraId="22F8C47E" w14:textId="77777777" w:rsidR="00563045" w:rsidRPr="00563045" w:rsidRDefault="00563045" w:rsidP="00B05B61">
      <w:pPr>
        <w:spacing w:after="0" w:line="240" w:lineRule="auto"/>
        <w:rPr>
          <w:bCs/>
          <w:szCs w:val="24"/>
          <w:lang w:val="fo-FO"/>
        </w:rPr>
      </w:pPr>
    </w:p>
    <w:p w14:paraId="5DA3A0B7" w14:textId="77777777" w:rsidR="00BF46D7" w:rsidRPr="00BF46D7" w:rsidRDefault="00BF46D7" w:rsidP="00B05B61">
      <w:pPr>
        <w:spacing w:after="0" w:line="240" w:lineRule="auto"/>
        <w:jc w:val="both"/>
        <w:rPr>
          <w:b/>
          <w:szCs w:val="24"/>
          <w:lang w:val="fo-FO"/>
        </w:rPr>
      </w:pPr>
      <w:r w:rsidRPr="00BF46D7">
        <w:rPr>
          <w:b/>
          <w:szCs w:val="24"/>
          <w:lang w:val="fo-FO"/>
        </w:rPr>
        <w:t>3.1. Viðmerkingar til ta einstøku greinina</w:t>
      </w:r>
    </w:p>
    <w:p w14:paraId="76A58606" w14:textId="77777777" w:rsidR="005B06FD" w:rsidRPr="00563045" w:rsidRDefault="005B06FD" w:rsidP="00B05B61">
      <w:pPr>
        <w:spacing w:after="0" w:line="240" w:lineRule="auto"/>
        <w:jc w:val="both"/>
        <w:rPr>
          <w:lang w:val="fo-FO"/>
        </w:rPr>
      </w:pPr>
    </w:p>
    <w:p w14:paraId="6A2E9AF7" w14:textId="5B1E6815" w:rsidR="00BF46D7" w:rsidRDefault="00BF46D7" w:rsidP="00B05B61">
      <w:pPr>
        <w:spacing w:after="0" w:line="240" w:lineRule="auto"/>
        <w:jc w:val="both"/>
        <w:rPr>
          <w:b/>
          <w:szCs w:val="24"/>
          <w:lang w:val="fo-FO"/>
        </w:rPr>
      </w:pPr>
      <w:r w:rsidRPr="00BF46D7">
        <w:rPr>
          <w:b/>
          <w:szCs w:val="24"/>
          <w:lang w:val="fo-FO"/>
        </w:rPr>
        <w:t>Til § 1</w:t>
      </w:r>
      <w:r w:rsidR="000B58D5">
        <w:rPr>
          <w:b/>
          <w:szCs w:val="24"/>
          <w:lang w:val="fo-FO"/>
        </w:rPr>
        <w:t>, nr. 1</w:t>
      </w:r>
    </w:p>
    <w:p w14:paraId="5AD82465" w14:textId="04833E74" w:rsidR="00C06527" w:rsidRDefault="009B1E3D" w:rsidP="003F77BA">
      <w:pPr>
        <w:spacing w:after="0" w:line="240" w:lineRule="auto"/>
        <w:jc w:val="both"/>
        <w:rPr>
          <w:bCs/>
          <w:szCs w:val="24"/>
          <w:lang w:val="fo-FO"/>
        </w:rPr>
      </w:pPr>
      <w:r>
        <w:rPr>
          <w:bCs/>
          <w:szCs w:val="24"/>
          <w:lang w:val="fo-FO"/>
        </w:rPr>
        <w:t>Á</w:t>
      </w:r>
      <w:r w:rsidR="00C06527" w:rsidRPr="00C06527">
        <w:rPr>
          <w:bCs/>
          <w:szCs w:val="24"/>
          <w:lang w:val="fo-FO"/>
        </w:rPr>
        <w:t>setingin í § 3, stk. 1, 1. pkt.</w:t>
      </w:r>
      <w:r w:rsidR="00C06527">
        <w:rPr>
          <w:bCs/>
          <w:szCs w:val="24"/>
          <w:lang w:val="fo-FO"/>
        </w:rPr>
        <w:t xml:space="preserve"> í</w:t>
      </w:r>
      <w:r w:rsidR="00C06527" w:rsidRPr="00C06527">
        <w:rPr>
          <w:lang w:val="fo-FO"/>
        </w:rPr>
        <w:t xml:space="preserve"> </w:t>
      </w:r>
      <w:r w:rsidR="00C06527" w:rsidRPr="00C06527">
        <w:rPr>
          <w:bCs/>
          <w:szCs w:val="24"/>
          <w:lang w:val="fo-FO"/>
        </w:rPr>
        <w:t>anordning nr. 433 af</w:t>
      </w:r>
      <w:r w:rsidR="00C06527">
        <w:rPr>
          <w:bCs/>
          <w:szCs w:val="24"/>
          <w:lang w:val="fo-FO"/>
        </w:rPr>
        <w:t xml:space="preserve"> </w:t>
      </w:r>
      <w:r w:rsidR="00C06527" w:rsidRPr="00C06527">
        <w:rPr>
          <w:bCs/>
          <w:szCs w:val="24"/>
          <w:lang w:val="fo-FO"/>
        </w:rPr>
        <w:t>8. april 2022</w:t>
      </w:r>
      <w:r>
        <w:rPr>
          <w:bCs/>
          <w:szCs w:val="24"/>
          <w:lang w:val="fo-FO"/>
        </w:rPr>
        <w:t xml:space="preserve"> var</w:t>
      </w:r>
      <w:r w:rsidR="00C06527" w:rsidRPr="00C06527">
        <w:rPr>
          <w:bCs/>
          <w:szCs w:val="24"/>
          <w:lang w:val="fo-FO"/>
        </w:rPr>
        <w:t xml:space="preserve"> lagað til føroysk viðurskifti</w:t>
      </w:r>
      <w:r w:rsidR="000C7D8F">
        <w:rPr>
          <w:bCs/>
          <w:szCs w:val="24"/>
          <w:lang w:val="fo-FO"/>
        </w:rPr>
        <w:t xml:space="preserve">. </w:t>
      </w:r>
      <w:r w:rsidR="00C06527" w:rsidRPr="00C06527">
        <w:rPr>
          <w:bCs/>
          <w:szCs w:val="24"/>
          <w:lang w:val="fo-FO"/>
        </w:rPr>
        <w:t>Støddin á landinum og kapasiteturin á teimum ymsu økjunum</w:t>
      </w:r>
      <w:r w:rsidR="008A2D19">
        <w:rPr>
          <w:bCs/>
          <w:szCs w:val="24"/>
          <w:lang w:val="fo-FO"/>
        </w:rPr>
        <w:t xml:space="preserve"> í Føroyum</w:t>
      </w:r>
      <w:r w:rsidR="00C06527" w:rsidRPr="00C06527">
        <w:rPr>
          <w:bCs/>
          <w:szCs w:val="24"/>
          <w:lang w:val="fo-FO"/>
        </w:rPr>
        <w:t xml:space="preserve"> er avmarkaður, og hetta var m.a. orsøkin til, at eitt mark</w:t>
      </w:r>
      <w:r w:rsidR="000C7D8F" w:rsidRPr="000C7D8F">
        <w:rPr>
          <w:lang w:val="fo-FO"/>
        </w:rPr>
        <w:t xml:space="preserve"> </w:t>
      </w:r>
      <w:r w:rsidR="000C7D8F" w:rsidRPr="000C7D8F">
        <w:rPr>
          <w:bCs/>
          <w:szCs w:val="24"/>
          <w:lang w:val="fo-FO"/>
        </w:rPr>
        <w:t xml:space="preserve">á 200 uppihaldsloyvir varð </w:t>
      </w:r>
      <w:r w:rsidR="000C7D8F">
        <w:rPr>
          <w:bCs/>
          <w:szCs w:val="24"/>
          <w:lang w:val="fo-FO"/>
        </w:rPr>
        <w:t>sett fyri</w:t>
      </w:r>
      <w:r w:rsidR="00C06527" w:rsidRPr="00C06527">
        <w:rPr>
          <w:bCs/>
          <w:szCs w:val="24"/>
          <w:lang w:val="fo-FO"/>
        </w:rPr>
        <w:t>, hvussu nógvir persónar kun</w:t>
      </w:r>
      <w:r w:rsidR="008A2D19">
        <w:rPr>
          <w:bCs/>
          <w:szCs w:val="24"/>
          <w:lang w:val="fo-FO"/>
        </w:rPr>
        <w:t>d</w:t>
      </w:r>
      <w:r w:rsidR="00C06527" w:rsidRPr="00C06527">
        <w:rPr>
          <w:bCs/>
          <w:szCs w:val="24"/>
          <w:lang w:val="fo-FO"/>
        </w:rPr>
        <w:t>u fáa fyribils uppihaldsloyvi í Føroyum eftir lógini. Eisini hevði tað týdning, at Føroyar ongantíð áður høvdu tikið ímóti</w:t>
      </w:r>
      <w:r w:rsidR="00C06527">
        <w:rPr>
          <w:bCs/>
          <w:szCs w:val="24"/>
          <w:lang w:val="fo-FO"/>
        </w:rPr>
        <w:t xml:space="preserve"> og hýst og veitt aðrar neyðugar tænastur til fólk</w:t>
      </w:r>
      <w:r w:rsidR="00C06527" w:rsidRPr="00C06527">
        <w:rPr>
          <w:bCs/>
          <w:szCs w:val="24"/>
          <w:lang w:val="fo-FO"/>
        </w:rPr>
        <w:t>, sum vóru rikin burtur úr heimlandinum orsakað av kríggi</w:t>
      </w:r>
      <w:r w:rsidR="00C06527">
        <w:rPr>
          <w:bCs/>
          <w:szCs w:val="24"/>
          <w:lang w:val="fo-FO"/>
        </w:rPr>
        <w:t>.</w:t>
      </w:r>
    </w:p>
    <w:p w14:paraId="5F60730A" w14:textId="77777777" w:rsidR="00C06527" w:rsidRDefault="00C06527" w:rsidP="00C06527">
      <w:pPr>
        <w:spacing w:after="0" w:line="240" w:lineRule="auto"/>
        <w:jc w:val="both"/>
        <w:rPr>
          <w:bCs/>
          <w:szCs w:val="24"/>
          <w:lang w:val="fo-FO"/>
        </w:rPr>
      </w:pPr>
    </w:p>
    <w:p w14:paraId="40A22DA1" w14:textId="687DCB4A" w:rsidR="00C06527" w:rsidRPr="008A2D19" w:rsidRDefault="00C06527" w:rsidP="00C06527">
      <w:pPr>
        <w:spacing w:after="0" w:line="240" w:lineRule="auto"/>
        <w:jc w:val="both"/>
        <w:rPr>
          <w:bCs/>
          <w:color w:val="FF0000"/>
          <w:szCs w:val="24"/>
          <w:lang w:val="fo-FO"/>
        </w:rPr>
      </w:pPr>
      <w:r w:rsidRPr="00C06527">
        <w:rPr>
          <w:bCs/>
          <w:szCs w:val="24"/>
          <w:lang w:val="fo-FO"/>
        </w:rPr>
        <w:t xml:space="preserve">Móttøkan av teimum </w:t>
      </w:r>
      <w:r w:rsidR="008812A2">
        <w:rPr>
          <w:bCs/>
          <w:szCs w:val="24"/>
          <w:lang w:val="fo-FO"/>
        </w:rPr>
        <w:t>180</w:t>
      </w:r>
      <w:r w:rsidRPr="00C06527">
        <w:rPr>
          <w:bCs/>
          <w:szCs w:val="24"/>
          <w:lang w:val="fo-FO"/>
        </w:rPr>
        <w:t xml:space="preserve"> persónunum, sum</w:t>
      </w:r>
      <w:r w:rsidR="008812A2">
        <w:rPr>
          <w:bCs/>
          <w:szCs w:val="24"/>
          <w:lang w:val="fo-FO"/>
        </w:rPr>
        <w:t xml:space="preserve"> higartil</w:t>
      </w:r>
      <w:r w:rsidRPr="00C06527">
        <w:rPr>
          <w:bCs/>
          <w:szCs w:val="24"/>
          <w:lang w:val="fo-FO"/>
        </w:rPr>
        <w:t xml:space="preserve"> hava fingið fyribils uppihaldsloyvi</w:t>
      </w:r>
      <w:r>
        <w:rPr>
          <w:bCs/>
          <w:szCs w:val="24"/>
          <w:lang w:val="fo-FO"/>
        </w:rPr>
        <w:t xml:space="preserve"> </w:t>
      </w:r>
      <w:r w:rsidR="008812A2">
        <w:rPr>
          <w:bCs/>
          <w:szCs w:val="24"/>
          <w:lang w:val="fo-FO"/>
        </w:rPr>
        <w:t xml:space="preserve">í Føroyum </w:t>
      </w:r>
      <w:r>
        <w:rPr>
          <w:bCs/>
          <w:szCs w:val="24"/>
          <w:lang w:val="fo-FO"/>
        </w:rPr>
        <w:t xml:space="preserve">eftir </w:t>
      </w:r>
      <w:r w:rsidRPr="008A2D19">
        <w:rPr>
          <w:bCs/>
          <w:szCs w:val="24"/>
          <w:lang w:val="fo-FO"/>
        </w:rPr>
        <w:t>lógini, hevur sum heild gingið væl. Av tí at kríggj enn er í Ukraina, og tørvur tí framvegis er at á at geva fólki, sum verða rikin úr landinum, fyribils vernd, verður mett</w:t>
      </w:r>
      <w:r w:rsidR="008A2D19" w:rsidRPr="008A2D19">
        <w:rPr>
          <w:bCs/>
          <w:szCs w:val="24"/>
          <w:lang w:val="fo-FO"/>
        </w:rPr>
        <w:t>, at ongin stórvegis vansi er við at økja talið av fyribils uppihaldsloyvum úr 200 upp í 250</w:t>
      </w:r>
      <w:r w:rsidR="008A2D19">
        <w:rPr>
          <w:bCs/>
          <w:szCs w:val="24"/>
          <w:lang w:val="fo-FO"/>
        </w:rPr>
        <w:t>.</w:t>
      </w:r>
    </w:p>
    <w:p w14:paraId="7F4730CF" w14:textId="77777777" w:rsidR="00C06527" w:rsidRPr="00563045" w:rsidRDefault="00C06527" w:rsidP="00B05B61">
      <w:pPr>
        <w:spacing w:after="0" w:line="240" w:lineRule="auto"/>
        <w:jc w:val="both"/>
        <w:rPr>
          <w:bCs/>
          <w:szCs w:val="24"/>
          <w:lang w:val="fo-FO"/>
        </w:rPr>
      </w:pPr>
    </w:p>
    <w:p w14:paraId="0E4E4751" w14:textId="18F19BFE" w:rsidR="009452B1" w:rsidRPr="00531C3A" w:rsidRDefault="00E5194E" w:rsidP="00B05B61">
      <w:pPr>
        <w:spacing w:after="0" w:line="240" w:lineRule="auto"/>
        <w:jc w:val="both"/>
        <w:rPr>
          <w:szCs w:val="24"/>
          <w:shd w:val="clear" w:color="auto" w:fill="FFFFFF"/>
          <w:lang w:val="fo-FO"/>
        </w:rPr>
      </w:pPr>
      <w:r w:rsidRPr="000E723C">
        <w:rPr>
          <w:szCs w:val="24"/>
          <w:shd w:val="clear" w:color="auto" w:fill="FFFFFF"/>
          <w:lang w:val="fo-FO"/>
        </w:rPr>
        <w:t>§ 3, stk. 1. 1. pkt</w:t>
      </w:r>
      <w:r w:rsidR="009452B1" w:rsidRPr="000E723C">
        <w:rPr>
          <w:szCs w:val="24"/>
          <w:shd w:val="clear" w:color="auto" w:fill="FFFFFF"/>
          <w:lang w:val="fo-FO"/>
        </w:rPr>
        <w:t>.</w:t>
      </w:r>
      <w:r w:rsidRPr="000E723C">
        <w:rPr>
          <w:szCs w:val="24"/>
          <w:shd w:val="clear" w:color="auto" w:fill="FFFFFF"/>
          <w:lang w:val="fo-FO"/>
        </w:rPr>
        <w:t xml:space="preserve"> </w:t>
      </w:r>
      <w:r w:rsidR="006B6E00" w:rsidRPr="000E723C">
        <w:rPr>
          <w:szCs w:val="24"/>
          <w:shd w:val="clear" w:color="auto" w:fill="FFFFFF"/>
          <w:lang w:val="fo-FO"/>
        </w:rPr>
        <w:t>í</w:t>
      </w:r>
      <w:r w:rsidRPr="000E723C">
        <w:rPr>
          <w:szCs w:val="24"/>
          <w:shd w:val="clear" w:color="auto" w:fill="FFFFFF"/>
          <w:lang w:val="fo-FO"/>
        </w:rPr>
        <w:t xml:space="preserve"> </w:t>
      </w:r>
      <w:bookmarkStart w:id="9" w:name="_Hlk155360730"/>
      <w:r w:rsidRPr="000E723C">
        <w:rPr>
          <w:szCs w:val="24"/>
          <w:shd w:val="clear" w:color="auto" w:fill="FFFFFF"/>
          <w:lang w:val="fo-FO"/>
        </w:rPr>
        <w:t>anordning nr. 433 af 8. april 2022</w:t>
      </w:r>
      <w:bookmarkEnd w:id="9"/>
      <w:r w:rsidRPr="000E723C">
        <w:rPr>
          <w:szCs w:val="24"/>
          <w:shd w:val="clear" w:color="auto" w:fill="FFFFFF"/>
          <w:lang w:val="fo-FO"/>
        </w:rPr>
        <w:t>, ásetur, at uppihaldsloyvi</w:t>
      </w:r>
      <w:r w:rsidR="006B6E00" w:rsidRPr="000E723C">
        <w:rPr>
          <w:szCs w:val="24"/>
          <w:shd w:val="clear" w:color="auto" w:fill="FFFFFF"/>
          <w:lang w:val="fo-FO"/>
        </w:rPr>
        <w:t>r</w:t>
      </w:r>
      <w:r w:rsidRPr="000E723C">
        <w:rPr>
          <w:szCs w:val="24"/>
          <w:shd w:val="clear" w:color="auto" w:fill="FFFFFF"/>
          <w:lang w:val="fo-FO"/>
        </w:rPr>
        <w:t xml:space="preserve"> </w:t>
      </w:r>
      <w:r w:rsidR="009452B1" w:rsidRPr="000E723C">
        <w:rPr>
          <w:szCs w:val="24"/>
          <w:shd w:val="clear" w:color="auto" w:fill="FFFFFF"/>
          <w:lang w:val="fo-FO"/>
        </w:rPr>
        <w:t xml:space="preserve">eftir lógini kunnu gevast innan fyri eina kvotu upp á 200. Hetta hevur við sær, at ein umsókn um </w:t>
      </w:r>
      <w:r w:rsidR="009338EB" w:rsidRPr="000E723C">
        <w:rPr>
          <w:szCs w:val="24"/>
          <w:shd w:val="clear" w:color="auto" w:fill="FFFFFF"/>
          <w:lang w:val="fo-FO"/>
        </w:rPr>
        <w:t xml:space="preserve">fyribils </w:t>
      </w:r>
      <w:r w:rsidR="009452B1" w:rsidRPr="000E723C">
        <w:rPr>
          <w:szCs w:val="24"/>
          <w:shd w:val="clear" w:color="auto" w:fill="FFFFFF"/>
          <w:lang w:val="fo-FO"/>
        </w:rPr>
        <w:t>uppihaldsloyvi eftir lógini verður avvíst, tá kvotan, sum er nevnd í § 3, stk. 1, 1. pkt. er brúkt, uttan so at heilt serligar orsøkir,</w:t>
      </w:r>
      <w:r w:rsidR="009338EB" w:rsidRPr="000E723C">
        <w:rPr>
          <w:lang w:val="fo-FO"/>
        </w:rPr>
        <w:t xml:space="preserve"> </w:t>
      </w:r>
      <w:r w:rsidR="009338EB" w:rsidRPr="000E723C">
        <w:rPr>
          <w:szCs w:val="24"/>
          <w:shd w:val="clear" w:color="auto" w:fill="FFFFFF"/>
          <w:lang w:val="fo-FO"/>
        </w:rPr>
        <w:t>undir hesum fyrilitið fyri, at ein familja fær verið saman sum ein eind</w:t>
      </w:r>
      <w:r w:rsidR="009452B1" w:rsidRPr="000E723C">
        <w:rPr>
          <w:szCs w:val="24"/>
          <w:shd w:val="clear" w:color="auto" w:fill="FFFFFF"/>
          <w:lang w:val="fo-FO"/>
        </w:rPr>
        <w:t xml:space="preserve">, tala ímóti, sbr. </w:t>
      </w:r>
      <w:r w:rsidR="009452B1" w:rsidRPr="00531C3A">
        <w:rPr>
          <w:szCs w:val="24"/>
          <w:shd w:val="clear" w:color="auto" w:fill="FFFFFF"/>
          <w:lang w:val="fo-FO"/>
        </w:rPr>
        <w:t>§ 5, stk. 2.</w:t>
      </w:r>
    </w:p>
    <w:p w14:paraId="5E1AE378" w14:textId="77777777" w:rsidR="009338EB" w:rsidRPr="00531C3A" w:rsidRDefault="009338EB" w:rsidP="00B05B61">
      <w:pPr>
        <w:spacing w:after="0" w:line="240" w:lineRule="auto"/>
        <w:jc w:val="both"/>
        <w:rPr>
          <w:szCs w:val="24"/>
          <w:shd w:val="clear" w:color="auto" w:fill="FFFFFF"/>
          <w:lang w:val="fo-FO"/>
        </w:rPr>
      </w:pPr>
    </w:p>
    <w:p w14:paraId="572DC08A" w14:textId="7E02E4A8" w:rsidR="00E5194E" w:rsidRPr="008812A2" w:rsidRDefault="009B1E3D" w:rsidP="00E5194E">
      <w:pPr>
        <w:spacing w:after="0" w:line="240" w:lineRule="auto"/>
        <w:jc w:val="both"/>
        <w:rPr>
          <w:szCs w:val="24"/>
          <w:shd w:val="clear" w:color="auto" w:fill="FFFFFF"/>
          <w:lang w:val="fo-FO"/>
        </w:rPr>
      </w:pPr>
      <w:r w:rsidRPr="00531C3A">
        <w:rPr>
          <w:szCs w:val="24"/>
          <w:shd w:val="clear" w:color="auto" w:fill="FFFFFF"/>
          <w:lang w:val="fo-FO"/>
        </w:rPr>
        <w:t>Uppskotið hevur til endamáls at broyta talið av fyribils uppihaldsloyvum</w:t>
      </w:r>
      <w:r w:rsidR="009452B1" w:rsidRPr="00531C3A">
        <w:rPr>
          <w:szCs w:val="24"/>
          <w:shd w:val="clear" w:color="auto" w:fill="FFFFFF"/>
          <w:lang w:val="fo-FO"/>
        </w:rPr>
        <w:t>, sum kunnu</w:t>
      </w:r>
      <w:r w:rsidRPr="00531C3A">
        <w:rPr>
          <w:szCs w:val="24"/>
          <w:shd w:val="clear" w:color="auto" w:fill="FFFFFF"/>
          <w:lang w:val="fo-FO"/>
        </w:rPr>
        <w:t xml:space="preserve"> latast</w:t>
      </w:r>
      <w:r w:rsidR="009452B1" w:rsidRPr="00531C3A">
        <w:rPr>
          <w:szCs w:val="24"/>
          <w:shd w:val="clear" w:color="auto" w:fill="FFFFFF"/>
          <w:lang w:val="fo-FO"/>
        </w:rPr>
        <w:t xml:space="preserve"> sbrt. </w:t>
      </w:r>
      <w:r w:rsidR="009452B1" w:rsidRPr="008812A2">
        <w:rPr>
          <w:szCs w:val="24"/>
          <w:shd w:val="clear" w:color="auto" w:fill="FFFFFF"/>
          <w:lang w:val="fo-FO"/>
        </w:rPr>
        <w:t xml:space="preserve">§ 3, stk. 1, 1. pkt. í </w:t>
      </w:r>
      <w:r w:rsidR="00E5194E" w:rsidRPr="008812A2">
        <w:rPr>
          <w:szCs w:val="24"/>
          <w:shd w:val="clear" w:color="auto" w:fill="FFFFFF"/>
          <w:lang w:val="fo-FO"/>
        </w:rPr>
        <w:t>anordning nr. 433 af 8. april 2022,</w:t>
      </w:r>
      <w:r w:rsidR="009338EB" w:rsidRPr="008812A2">
        <w:rPr>
          <w:szCs w:val="24"/>
          <w:shd w:val="clear" w:color="auto" w:fill="FFFFFF"/>
          <w:lang w:val="fo-FO"/>
        </w:rPr>
        <w:t xml:space="preserve"> </w:t>
      </w:r>
      <w:r w:rsidRPr="008812A2">
        <w:rPr>
          <w:szCs w:val="24"/>
          <w:shd w:val="clear" w:color="auto" w:fill="FFFFFF"/>
          <w:lang w:val="fo-FO"/>
        </w:rPr>
        <w:t>soleiðis at núverandi kvota upp á 200</w:t>
      </w:r>
      <w:r w:rsidR="008812A2" w:rsidRPr="008812A2">
        <w:rPr>
          <w:szCs w:val="24"/>
          <w:shd w:val="clear" w:color="auto" w:fill="FFFFFF"/>
          <w:lang w:val="fo-FO"/>
        </w:rPr>
        <w:t xml:space="preserve"> fyribils uppi</w:t>
      </w:r>
      <w:r w:rsidR="008812A2">
        <w:rPr>
          <w:szCs w:val="24"/>
          <w:shd w:val="clear" w:color="auto" w:fill="FFFFFF"/>
          <w:lang w:val="fo-FO"/>
        </w:rPr>
        <w:t>haldsloyvir</w:t>
      </w:r>
      <w:r w:rsidRPr="008812A2">
        <w:rPr>
          <w:szCs w:val="24"/>
          <w:shd w:val="clear" w:color="auto" w:fill="FFFFFF"/>
          <w:lang w:val="fo-FO"/>
        </w:rPr>
        <w:t xml:space="preserve"> verður økt til 250</w:t>
      </w:r>
      <w:r w:rsidR="008812A2">
        <w:rPr>
          <w:szCs w:val="24"/>
          <w:shd w:val="clear" w:color="auto" w:fill="FFFFFF"/>
          <w:lang w:val="fo-FO"/>
        </w:rPr>
        <w:t>.</w:t>
      </w:r>
      <w:r w:rsidR="009452B1" w:rsidRPr="008812A2">
        <w:rPr>
          <w:szCs w:val="24"/>
          <w:shd w:val="clear" w:color="auto" w:fill="FFFFFF"/>
          <w:lang w:val="fo-FO"/>
        </w:rPr>
        <w:t xml:space="preserve"> </w:t>
      </w:r>
    </w:p>
    <w:p w14:paraId="11404760" w14:textId="77777777" w:rsidR="00E5194E" w:rsidRPr="008812A2" w:rsidRDefault="00E5194E" w:rsidP="00E5194E">
      <w:pPr>
        <w:spacing w:after="0" w:line="240" w:lineRule="auto"/>
        <w:jc w:val="both"/>
        <w:rPr>
          <w:szCs w:val="24"/>
          <w:shd w:val="clear" w:color="auto" w:fill="FFFFFF"/>
          <w:lang w:val="fo-FO"/>
        </w:rPr>
      </w:pPr>
    </w:p>
    <w:p w14:paraId="1B690A62" w14:textId="77777777" w:rsidR="00E5194E" w:rsidRPr="008812A2" w:rsidRDefault="00E5194E" w:rsidP="00B05B61">
      <w:pPr>
        <w:spacing w:after="0" w:line="240" w:lineRule="auto"/>
        <w:jc w:val="both"/>
        <w:rPr>
          <w:szCs w:val="24"/>
          <w:shd w:val="clear" w:color="auto" w:fill="FFFFFF"/>
          <w:lang w:val="fo-FO"/>
        </w:rPr>
      </w:pPr>
    </w:p>
    <w:p w14:paraId="57661E5F" w14:textId="77777777" w:rsidR="00BF46D7" w:rsidRPr="00BF46D7" w:rsidRDefault="00BF46D7" w:rsidP="00B05B61">
      <w:pPr>
        <w:spacing w:after="0" w:line="240" w:lineRule="auto"/>
        <w:jc w:val="both"/>
        <w:rPr>
          <w:b/>
          <w:szCs w:val="24"/>
          <w:lang w:val="fo-FO"/>
        </w:rPr>
      </w:pPr>
      <w:r w:rsidRPr="00BF46D7">
        <w:rPr>
          <w:b/>
          <w:szCs w:val="24"/>
          <w:lang w:val="fo-FO"/>
        </w:rPr>
        <w:t>Til § 2</w:t>
      </w:r>
    </w:p>
    <w:p w14:paraId="03A81635" w14:textId="268D0A82" w:rsidR="00BF46D7" w:rsidRPr="00BF46D7" w:rsidRDefault="000B58D5" w:rsidP="00B05B61">
      <w:pPr>
        <w:spacing w:after="0" w:line="240" w:lineRule="auto"/>
        <w:jc w:val="both"/>
        <w:rPr>
          <w:szCs w:val="24"/>
          <w:lang w:val="fo-FO"/>
        </w:rPr>
      </w:pPr>
      <w:r>
        <w:rPr>
          <w:szCs w:val="24"/>
          <w:lang w:val="fo-FO"/>
        </w:rPr>
        <w:t>Áseting um gildiskomu.</w:t>
      </w:r>
    </w:p>
    <w:p w14:paraId="62689936" w14:textId="77777777" w:rsidR="00BF46D7" w:rsidRPr="00BF46D7" w:rsidRDefault="00BF46D7" w:rsidP="00B05B61">
      <w:pPr>
        <w:spacing w:after="0" w:line="240" w:lineRule="auto"/>
        <w:jc w:val="both"/>
        <w:rPr>
          <w:szCs w:val="24"/>
          <w:lang w:val="fo-FO"/>
        </w:rPr>
      </w:pPr>
    </w:p>
    <w:p w14:paraId="61CAA207" w14:textId="77777777" w:rsidR="00BF46D7" w:rsidRPr="00BF46D7" w:rsidRDefault="00BF46D7" w:rsidP="00B05B61">
      <w:pPr>
        <w:spacing w:after="0" w:line="240" w:lineRule="auto"/>
        <w:jc w:val="both"/>
        <w:rPr>
          <w:szCs w:val="24"/>
          <w:lang w:val="fo-FO"/>
        </w:rPr>
      </w:pPr>
    </w:p>
    <w:p w14:paraId="35B6D896" w14:textId="77777777" w:rsidR="00BF46D7" w:rsidRPr="00BF46D7" w:rsidRDefault="00BF46D7" w:rsidP="00B05B61">
      <w:pPr>
        <w:spacing w:after="0" w:line="240" w:lineRule="auto"/>
        <w:jc w:val="both"/>
        <w:rPr>
          <w:szCs w:val="24"/>
          <w:lang w:val="fo-FO"/>
        </w:rPr>
      </w:pPr>
    </w:p>
    <w:p w14:paraId="429FB780" w14:textId="77777777" w:rsidR="00BF46D7" w:rsidRPr="00BF46D7" w:rsidRDefault="00BF46D7" w:rsidP="00B05B61">
      <w:pPr>
        <w:spacing w:after="0" w:line="240" w:lineRule="auto"/>
        <w:jc w:val="both"/>
        <w:rPr>
          <w:szCs w:val="24"/>
          <w:lang w:val="fo-FO"/>
        </w:rPr>
      </w:pPr>
    </w:p>
    <w:p w14:paraId="044F8E82" w14:textId="77777777" w:rsidR="00BF46D7" w:rsidRPr="00BF46D7" w:rsidRDefault="00BF46D7" w:rsidP="00B05B61">
      <w:pPr>
        <w:spacing w:after="0" w:line="240" w:lineRule="auto"/>
        <w:jc w:val="both"/>
        <w:rPr>
          <w:szCs w:val="24"/>
          <w:lang w:val="fo-FO"/>
        </w:rPr>
      </w:pPr>
    </w:p>
    <w:p w14:paraId="7B1ABF01" w14:textId="77777777" w:rsidR="00BF46D7" w:rsidRPr="00BF46D7" w:rsidRDefault="00BF46D7" w:rsidP="00B05B61">
      <w:pPr>
        <w:spacing w:after="0" w:line="240" w:lineRule="auto"/>
        <w:rPr>
          <w:szCs w:val="24"/>
          <w:lang w:val="fo-FO"/>
        </w:rPr>
      </w:pPr>
    </w:p>
    <w:p w14:paraId="4C1E88E4" w14:textId="5368D374" w:rsidR="00BF46D7" w:rsidRPr="00BF46D7" w:rsidRDefault="000B58D5" w:rsidP="00B05B61">
      <w:pPr>
        <w:spacing w:after="0" w:line="240" w:lineRule="auto"/>
        <w:jc w:val="center"/>
        <w:rPr>
          <w:szCs w:val="24"/>
          <w:lang w:val="fo-FO"/>
        </w:rPr>
      </w:pPr>
      <w:r>
        <w:rPr>
          <w:szCs w:val="24"/>
          <w:lang w:val="fo-FO"/>
        </w:rPr>
        <w:t>Løgmálaráðið, tann</w:t>
      </w:r>
      <w:r w:rsidR="00563045">
        <w:rPr>
          <w:szCs w:val="24"/>
          <w:lang w:val="fo-FO"/>
        </w:rPr>
        <w:t xml:space="preserve"> </w:t>
      </w:r>
      <w:r w:rsidR="008812A2">
        <w:rPr>
          <w:szCs w:val="24"/>
          <w:lang w:val="fo-FO"/>
        </w:rPr>
        <w:t>xx</w:t>
      </w:r>
    </w:p>
    <w:p w14:paraId="4A7672A9" w14:textId="77777777" w:rsidR="00BF46D7" w:rsidRPr="00BF46D7" w:rsidRDefault="00BF46D7" w:rsidP="00B05B61">
      <w:pPr>
        <w:spacing w:after="0" w:line="240" w:lineRule="auto"/>
        <w:jc w:val="center"/>
        <w:rPr>
          <w:szCs w:val="24"/>
          <w:lang w:val="fo-FO"/>
        </w:rPr>
      </w:pPr>
    </w:p>
    <w:p w14:paraId="3D19A373" w14:textId="22A37D0D" w:rsidR="00BF46D7" w:rsidRPr="00BF46D7" w:rsidRDefault="000B58D5" w:rsidP="00B05B61">
      <w:pPr>
        <w:spacing w:after="0" w:line="240" w:lineRule="auto"/>
        <w:jc w:val="center"/>
        <w:rPr>
          <w:b/>
          <w:szCs w:val="24"/>
          <w:lang w:val="fo-FO"/>
        </w:rPr>
      </w:pPr>
      <w:r>
        <w:rPr>
          <w:b/>
          <w:szCs w:val="24"/>
          <w:lang w:val="fo-FO"/>
        </w:rPr>
        <w:t>Bjarni Kárason Petersen</w:t>
      </w:r>
    </w:p>
    <w:p w14:paraId="1BA03564" w14:textId="77777777" w:rsidR="00BF46D7" w:rsidRPr="00BF46D7" w:rsidRDefault="00BF46D7" w:rsidP="00B05B61">
      <w:pPr>
        <w:spacing w:after="0" w:line="240" w:lineRule="auto"/>
        <w:jc w:val="center"/>
        <w:rPr>
          <w:szCs w:val="24"/>
          <w:lang w:val="fo-FO"/>
        </w:rPr>
      </w:pPr>
      <w:r w:rsidRPr="00BF46D7">
        <w:rPr>
          <w:szCs w:val="24"/>
          <w:lang w:val="fo-FO"/>
        </w:rPr>
        <w:t>landsstýrismaður</w:t>
      </w:r>
    </w:p>
    <w:p w14:paraId="6C2D0329" w14:textId="77777777" w:rsidR="00BF46D7" w:rsidRPr="00BF46D7" w:rsidRDefault="00BF46D7" w:rsidP="00B05B61">
      <w:pPr>
        <w:spacing w:after="0" w:line="240" w:lineRule="auto"/>
        <w:jc w:val="right"/>
        <w:rPr>
          <w:szCs w:val="24"/>
          <w:lang w:val="fo-FO"/>
        </w:rPr>
      </w:pPr>
    </w:p>
    <w:p w14:paraId="15DF20D3" w14:textId="5DB4D4B5" w:rsidR="00BF46D7" w:rsidRPr="00BF46D7" w:rsidRDefault="00BF46D7" w:rsidP="00B05B61">
      <w:pPr>
        <w:spacing w:after="0" w:line="240" w:lineRule="auto"/>
        <w:jc w:val="right"/>
        <w:rPr>
          <w:szCs w:val="24"/>
          <w:lang w:val="fo-FO"/>
        </w:rPr>
      </w:pPr>
      <w:r w:rsidRPr="00BF46D7">
        <w:rPr>
          <w:szCs w:val="24"/>
          <w:lang w:val="fo-FO"/>
        </w:rPr>
        <w:t xml:space="preserve">/ </w:t>
      </w:r>
      <w:r w:rsidR="00B75E95">
        <w:rPr>
          <w:szCs w:val="24"/>
          <w:lang w:val="fo-FO"/>
        </w:rPr>
        <w:t>Elinborg Apol</w:t>
      </w:r>
    </w:p>
    <w:p w14:paraId="2BFB0BE8" w14:textId="77777777" w:rsidR="00BF46D7" w:rsidRPr="00BF46D7" w:rsidRDefault="00BF46D7" w:rsidP="00B05B61">
      <w:pPr>
        <w:spacing w:after="0" w:line="240" w:lineRule="auto"/>
        <w:jc w:val="right"/>
        <w:rPr>
          <w:szCs w:val="24"/>
          <w:lang w:val="fo-FO"/>
        </w:rPr>
      </w:pPr>
    </w:p>
    <w:p w14:paraId="5904812C" w14:textId="77777777" w:rsidR="00BF46D7" w:rsidRPr="00BF46D7" w:rsidRDefault="00BF46D7" w:rsidP="00B05B61">
      <w:pPr>
        <w:spacing w:after="0" w:line="240" w:lineRule="auto"/>
        <w:rPr>
          <w:szCs w:val="24"/>
          <w:lang w:val="fo-FO"/>
        </w:rPr>
      </w:pPr>
    </w:p>
    <w:p w14:paraId="1CDC502D" w14:textId="77777777" w:rsidR="00BF46D7" w:rsidRPr="00BF46D7" w:rsidRDefault="00BF46D7" w:rsidP="003F77BA">
      <w:pPr>
        <w:spacing w:after="0" w:line="240" w:lineRule="auto"/>
        <w:rPr>
          <w:b/>
          <w:szCs w:val="24"/>
          <w:lang w:val="fo-FO"/>
        </w:rPr>
      </w:pPr>
      <w:r w:rsidRPr="00BF46D7">
        <w:rPr>
          <w:b/>
          <w:szCs w:val="24"/>
          <w:lang w:val="fo-FO"/>
        </w:rPr>
        <w:t>Yvirlit yvir fylgiskjøl:</w:t>
      </w:r>
    </w:p>
    <w:p w14:paraId="4AFC83FF" w14:textId="39D7EB32" w:rsidR="00BF46D7" w:rsidRPr="00BF46D7" w:rsidRDefault="00BF46D7" w:rsidP="003F77BA">
      <w:pPr>
        <w:spacing w:after="0" w:line="240" w:lineRule="auto"/>
        <w:rPr>
          <w:szCs w:val="24"/>
          <w:lang w:val="fo-FO"/>
        </w:rPr>
      </w:pPr>
      <w:r w:rsidRPr="00BF46D7">
        <w:rPr>
          <w:szCs w:val="24"/>
          <w:lang w:val="fo-FO"/>
        </w:rPr>
        <w:t>Fylgiskjal 1:</w:t>
      </w:r>
      <w:r w:rsidR="00375DA7">
        <w:rPr>
          <w:szCs w:val="24"/>
          <w:lang w:val="fo-FO"/>
        </w:rPr>
        <w:t xml:space="preserve"> Udkast til anordningsændring </w:t>
      </w:r>
    </w:p>
    <w:p w14:paraId="5460A993" w14:textId="5E2E8602" w:rsidR="00BF46D7" w:rsidRPr="00BF46D7" w:rsidRDefault="00BF46D7" w:rsidP="003F77BA">
      <w:pPr>
        <w:spacing w:after="0" w:line="240" w:lineRule="auto"/>
        <w:rPr>
          <w:szCs w:val="24"/>
          <w:lang w:val="fo-FO"/>
        </w:rPr>
      </w:pPr>
      <w:r w:rsidRPr="00BF46D7">
        <w:rPr>
          <w:szCs w:val="24"/>
          <w:lang w:val="fo-FO"/>
        </w:rPr>
        <w:t xml:space="preserve">Fylgiskjal 2: </w:t>
      </w:r>
      <w:r w:rsidR="00375DA7" w:rsidRPr="00375DA7">
        <w:rPr>
          <w:szCs w:val="24"/>
          <w:lang w:val="fo-FO"/>
        </w:rPr>
        <w:t>Resum</w:t>
      </w:r>
      <w:r w:rsidR="008812A2">
        <w:rPr>
          <w:szCs w:val="24"/>
          <w:lang w:val="fo-FO"/>
        </w:rPr>
        <w:t>é</w:t>
      </w:r>
      <w:r w:rsidR="00375DA7" w:rsidRPr="00375DA7">
        <w:rPr>
          <w:szCs w:val="24"/>
          <w:lang w:val="fo-FO"/>
        </w:rPr>
        <w:t xml:space="preserve"> </w:t>
      </w:r>
      <w:r w:rsidR="008812A2">
        <w:rPr>
          <w:szCs w:val="24"/>
          <w:lang w:val="fo-FO"/>
        </w:rPr>
        <w:t>af udkast til anordningsændring</w:t>
      </w:r>
    </w:p>
    <w:p w14:paraId="5716B29A" w14:textId="77777777" w:rsidR="00081C11" w:rsidRPr="00B05B61" w:rsidRDefault="00081C11" w:rsidP="00B05B61">
      <w:pPr>
        <w:spacing w:line="240" w:lineRule="auto"/>
      </w:pPr>
    </w:p>
    <w:sectPr w:rsidR="00081C11" w:rsidRPr="00B05B61" w:rsidSect="00BF46D7">
      <w:headerReference w:type="even" r:id="rId8"/>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8EB1" w14:textId="77777777" w:rsidR="005762B2" w:rsidRDefault="005762B2">
      <w:pPr>
        <w:spacing w:after="0" w:line="240" w:lineRule="auto"/>
      </w:pPr>
      <w:r>
        <w:separator/>
      </w:r>
    </w:p>
  </w:endnote>
  <w:endnote w:type="continuationSeparator" w:id="0">
    <w:p w14:paraId="7EB5D916" w14:textId="77777777" w:rsidR="005762B2" w:rsidRDefault="0057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2A64" w14:textId="77777777" w:rsidR="00262C59" w:rsidRDefault="00DE7770">
    <w:pPr>
      <w:pStyle w:val="Sidefod"/>
      <w:jc w:val="center"/>
    </w:pPr>
    <w:r w:rsidRPr="00BD0332">
      <w:rPr>
        <w:bCs/>
        <w:szCs w:val="24"/>
      </w:rPr>
      <w:fldChar w:fldCharType="begin"/>
    </w:r>
    <w:r w:rsidRPr="00BD0332">
      <w:rPr>
        <w:bCs/>
      </w:rPr>
      <w:instrText>PAGE</w:instrText>
    </w:r>
    <w:r w:rsidRPr="00BD0332">
      <w:rPr>
        <w:bCs/>
        <w:szCs w:val="24"/>
      </w:rPr>
      <w:fldChar w:fldCharType="separate"/>
    </w:r>
    <w:r w:rsidR="00D77F74">
      <w:rPr>
        <w:bCs/>
        <w:noProof/>
      </w:rPr>
      <w:t>1</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D77F74">
      <w:rPr>
        <w:bCs/>
        <w:noProof/>
      </w:rPr>
      <w:t>10</w:t>
    </w:r>
    <w:r w:rsidRPr="00BD0332">
      <w:rPr>
        <w:bCs/>
        <w:szCs w:val="24"/>
      </w:rPr>
      <w:fldChar w:fldCharType="end"/>
    </w:r>
  </w:p>
  <w:p w14:paraId="62623011" w14:textId="77777777" w:rsidR="00262C59" w:rsidRDefault="00262C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36ED" w14:textId="77777777" w:rsidR="005762B2" w:rsidRDefault="005762B2">
      <w:pPr>
        <w:spacing w:after="0" w:line="240" w:lineRule="auto"/>
      </w:pPr>
      <w:r>
        <w:separator/>
      </w:r>
    </w:p>
  </w:footnote>
  <w:footnote w:type="continuationSeparator" w:id="0">
    <w:p w14:paraId="6F01F6A7" w14:textId="77777777" w:rsidR="005762B2" w:rsidRDefault="005762B2">
      <w:pPr>
        <w:spacing w:after="0" w:line="240" w:lineRule="auto"/>
      </w:pPr>
      <w:r>
        <w:continuationSeparator/>
      </w:r>
    </w:p>
  </w:footnote>
  <w:footnote w:id="1">
    <w:p w14:paraId="4B8B95C0" w14:textId="77777777" w:rsidR="00EF15A8" w:rsidRDefault="00EF15A8" w:rsidP="00EF15A8">
      <w:pPr>
        <w:pStyle w:val="Fodnotetekst"/>
      </w:pPr>
      <w:r>
        <w:rPr>
          <w:rStyle w:val="Fodnotehenvisning"/>
        </w:rPr>
        <w:footnoteRef/>
      </w:r>
      <w:r>
        <w:t xml:space="preserve"> Bestemmelsen har følgende ordlyd: ”De dele af loven, som i medfør af stk. 2 er sat i kraft for Færøerne, kan ved kongelig anordning sættes helt eller delvis i kraft på ny for Færøerne med de ændringer, som de færøske forhold tilsiger. Bestemmelserne kan sættes i kraft på ny på forskellige tidspunkter.”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9ACB" w14:textId="77777777" w:rsidR="00262C59" w:rsidRPr="00DA32B2" w:rsidRDefault="00262C59">
    <w:pPr>
      <w:pStyle w:val="Sidehoved"/>
      <w:rPr>
        <w:szCs w:val="24"/>
      </w:rPr>
    </w:pPr>
  </w:p>
  <w:p w14:paraId="341330EB" w14:textId="77777777" w:rsidR="00262C59" w:rsidRPr="00DA32B2" w:rsidRDefault="00262C59">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1F60" w14:textId="77777777" w:rsidR="00262C59" w:rsidRPr="00DA32B2" w:rsidRDefault="00262C59" w:rsidP="00035C9D">
    <w:pPr>
      <w:pStyle w:val="Sidehoved"/>
      <w:tabs>
        <w:tab w:val="left" w:pos="3690"/>
      </w:tabs>
      <w:spacing w:before="240"/>
      <w:rPr>
        <w:b/>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C6"/>
    <w:rsid w:val="0001420B"/>
    <w:rsid w:val="0001573D"/>
    <w:rsid w:val="000309BB"/>
    <w:rsid w:val="0008164B"/>
    <w:rsid w:val="00081C11"/>
    <w:rsid w:val="00092EA4"/>
    <w:rsid w:val="0009346A"/>
    <w:rsid w:val="000A11BA"/>
    <w:rsid w:val="000B4170"/>
    <w:rsid w:val="000B58D5"/>
    <w:rsid w:val="000C00DE"/>
    <w:rsid w:val="000C4E20"/>
    <w:rsid w:val="000C7D8F"/>
    <w:rsid w:val="000D4FB5"/>
    <w:rsid w:val="000E723C"/>
    <w:rsid w:val="000F2364"/>
    <w:rsid w:val="00151714"/>
    <w:rsid w:val="00160FF3"/>
    <w:rsid w:val="001611A1"/>
    <w:rsid w:val="00164081"/>
    <w:rsid w:val="00164DE5"/>
    <w:rsid w:val="001809AD"/>
    <w:rsid w:val="001B6801"/>
    <w:rsid w:val="001E4AF2"/>
    <w:rsid w:val="001E79A2"/>
    <w:rsid w:val="002125F0"/>
    <w:rsid w:val="0021274D"/>
    <w:rsid w:val="002173D7"/>
    <w:rsid w:val="00262C59"/>
    <w:rsid w:val="00262E29"/>
    <w:rsid w:val="00270B64"/>
    <w:rsid w:val="00294D4B"/>
    <w:rsid w:val="002D4A2A"/>
    <w:rsid w:val="00323DB6"/>
    <w:rsid w:val="0033078C"/>
    <w:rsid w:val="003316E9"/>
    <w:rsid w:val="00355C47"/>
    <w:rsid w:val="00374973"/>
    <w:rsid w:val="00375DA7"/>
    <w:rsid w:val="003872BD"/>
    <w:rsid w:val="0039572D"/>
    <w:rsid w:val="003A362C"/>
    <w:rsid w:val="003C1DF8"/>
    <w:rsid w:val="003D2E24"/>
    <w:rsid w:val="003D627B"/>
    <w:rsid w:val="003E0F02"/>
    <w:rsid w:val="003F56A9"/>
    <w:rsid w:val="003F77BA"/>
    <w:rsid w:val="00405F19"/>
    <w:rsid w:val="00412931"/>
    <w:rsid w:val="00412EC6"/>
    <w:rsid w:val="00420BB8"/>
    <w:rsid w:val="00433133"/>
    <w:rsid w:val="004809E9"/>
    <w:rsid w:val="0048433C"/>
    <w:rsid w:val="004932EB"/>
    <w:rsid w:val="004E3BD0"/>
    <w:rsid w:val="004F4380"/>
    <w:rsid w:val="00513F28"/>
    <w:rsid w:val="005215C7"/>
    <w:rsid w:val="00531C3A"/>
    <w:rsid w:val="005464F7"/>
    <w:rsid w:val="00563045"/>
    <w:rsid w:val="00573185"/>
    <w:rsid w:val="005762B2"/>
    <w:rsid w:val="005900FB"/>
    <w:rsid w:val="00592A24"/>
    <w:rsid w:val="005B06FD"/>
    <w:rsid w:val="005E32AA"/>
    <w:rsid w:val="005E7CC0"/>
    <w:rsid w:val="005F2262"/>
    <w:rsid w:val="00600B0B"/>
    <w:rsid w:val="006016DB"/>
    <w:rsid w:val="006021BE"/>
    <w:rsid w:val="0063158B"/>
    <w:rsid w:val="00651544"/>
    <w:rsid w:val="00666543"/>
    <w:rsid w:val="006761C6"/>
    <w:rsid w:val="006B6E00"/>
    <w:rsid w:val="006F101A"/>
    <w:rsid w:val="00737A55"/>
    <w:rsid w:val="00737BDD"/>
    <w:rsid w:val="00745DC7"/>
    <w:rsid w:val="00765529"/>
    <w:rsid w:val="007975DA"/>
    <w:rsid w:val="007D1FE0"/>
    <w:rsid w:val="008215D6"/>
    <w:rsid w:val="00842EAD"/>
    <w:rsid w:val="0084728F"/>
    <w:rsid w:val="0084792E"/>
    <w:rsid w:val="00850CFB"/>
    <w:rsid w:val="0085651C"/>
    <w:rsid w:val="0087198F"/>
    <w:rsid w:val="00873091"/>
    <w:rsid w:val="008812A2"/>
    <w:rsid w:val="008A2D19"/>
    <w:rsid w:val="008F4342"/>
    <w:rsid w:val="009177A0"/>
    <w:rsid w:val="009338EB"/>
    <w:rsid w:val="009452B1"/>
    <w:rsid w:val="00953C3B"/>
    <w:rsid w:val="009A450C"/>
    <w:rsid w:val="009B1E3D"/>
    <w:rsid w:val="009C3DC1"/>
    <w:rsid w:val="009D3739"/>
    <w:rsid w:val="009E062B"/>
    <w:rsid w:val="00A03CDE"/>
    <w:rsid w:val="00A21EE6"/>
    <w:rsid w:val="00A25409"/>
    <w:rsid w:val="00A56A70"/>
    <w:rsid w:val="00A71455"/>
    <w:rsid w:val="00AA0842"/>
    <w:rsid w:val="00AC1C5C"/>
    <w:rsid w:val="00AE0D25"/>
    <w:rsid w:val="00AF589B"/>
    <w:rsid w:val="00AF7C3C"/>
    <w:rsid w:val="00B05B61"/>
    <w:rsid w:val="00B43E35"/>
    <w:rsid w:val="00B43E90"/>
    <w:rsid w:val="00B73F29"/>
    <w:rsid w:val="00B75E95"/>
    <w:rsid w:val="00B93311"/>
    <w:rsid w:val="00B94C12"/>
    <w:rsid w:val="00BB6390"/>
    <w:rsid w:val="00BD1A83"/>
    <w:rsid w:val="00BF46D7"/>
    <w:rsid w:val="00C06527"/>
    <w:rsid w:val="00C14F7B"/>
    <w:rsid w:val="00C36A47"/>
    <w:rsid w:val="00C57B72"/>
    <w:rsid w:val="00C65F7D"/>
    <w:rsid w:val="00C85E18"/>
    <w:rsid w:val="00CD428F"/>
    <w:rsid w:val="00CE32CB"/>
    <w:rsid w:val="00D03AE1"/>
    <w:rsid w:val="00D77F74"/>
    <w:rsid w:val="00D83A47"/>
    <w:rsid w:val="00D86CB7"/>
    <w:rsid w:val="00D91F2D"/>
    <w:rsid w:val="00DA044C"/>
    <w:rsid w:val="00DA7A8C"/>
    <w:rsid w:val="00DB3588"/>
    <w:rsid w:val="00DC1A52"/>
    <w:rsid w:val="00DD3F8F"/>
    <w:rsid w:val="00DE7770"/>
    <w:rsid w:val="00DF5F3A"/>
    <w:rsid w:val="00E02628"/>
    <w:rsid w:val="00E3013D"/>
    <w:rsid w:val="00E33116"/>
    <w:rsid w:val="00E41529"/>
    <w:rsid w:val="00E47784"/>
    <w:rsid w:val="00E5194E"/>
    <w:rsid w:val="00E717AA"/>
    <w:rsid w:val="00E77EFD"/>
    <w:rsid w:val="00E9464E"/>
    <w:rsid w:val="00EB648D"/>
    <w:rsid w:val="00EC7B5B"/>
    <w:rsid w:val="00EF15A8"/>
    <w:rsid w:val="00F260A8"/>
    <w:rsid w:val="00F354B9"/>
    <w:rsid w:val="00F36929"/>
    <w:rsid w:val="00F43145"/>
    <w:rsid w:val="00F6279E"/>
    <w:rsid w:val="00F76579"/>
    <w:rsid w:val="00F914E3"/>
    <w:rsid w:val="00FB6CE6"/>
    <w:rsid w:val="00FC242E"/>
    <w:rsid w:val="00FC4EC4"/>
    <w:rsid w:val="00FC61CA"/>
    <w:rsid w:val="00FD54F0"/>
    <w:rsid w:val="00FF2A92"/>
    <w:rsid w:val="00FF5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FB583"/>
  <w14:defaultImageDpi w14:val="330"/>
  <w15:chartTrackingRefBased/>
  <w15:docId w15:val="{C8D5CAA1-ACB0-4B19-8EC3-14215966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2"/>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line="240" w:lineRule="auto"/>
    </w:pPr>
    <w:rPr>
      <w:rFonts w:eastAsia="Times New Roman"/>
      <w:szCs w:val="24"/>
    </w:rPr>
  </w:style>
  <w:style w:type="paragraph" w:customStyle="1" w:styleId="Stk">
    <w:name w:val="Stk"/>
    <w:basedOn w:val="Normal"/>
    <w:rsid w:val="00AF589B"/>
    <w:pPr>
      <w:spacing w:after="0" w:line="240" w:lineRule="auto"/>
      <w:ind w:firstLine="170"/>
    </w:pPr>
    <w:rPr>
      <w:rFonts w:eastAsia="Times New Roman"/>
      <w:szCs w:val="24"/>
    </w:rPr>
  </w:style>
  <w:style w:type="paragraph" w:customStyle="1" w:styleId="Paragraftekst">
    <w:name w:val="Paragraftekst"/>
    <w:basedOn w:val="Normal"/>
    <w:next w:val="Normal"/>
    <w:rsid w:val="00AF589B"/>
    <w:pPr>
      <w:spacing w:before="240" w:after="0" w:line="240" w:lineRule="auto"/>
      <w:ind w:firstLine="170"/>
    </w:pPr>
    <w:rPr>
      <w:rFonts w:eastAsia="Times New Roman"/>
      <w:szCs w:val="24"/>
    </w:rPr>
  </w:style>
  <w:style w:type="paragraph" w:styleId="Sidehoved">
    <w:name w:val="header"/>
    <w:basedOn w:val="Normal"/>
    <w:link w:val="SidehovedTegn"/>
    <w:uiPriority w:val="99"/>
    <w:semiHidden/>
    <w:unhideWhenUsed/>
    <w:rsid w:val="00BF46D7"/>
    <w:pPr>
      <w:tabs>
        <w:tab w:val="center" w:pos="4819"/>
        <w:tab w:val="right" w:pos="9638"/>
      </w:tabs>
    </w:pPr>
  </w:style>
  <w:style w:type="character" w:customStyle="1" w:styleId="SidehovedTegn">
    <w:name w:val="Sidehoved Tegn"/>
    <w:link w:val="Sidehoved"/>
    <w:uiPriority w:val="99"/>
    <w:semiHidden/>
    <w:rsid w:val="00BF46D7"/>
    <w:rPr>
      <w:sz w:val="24"/>
      <w:szCs w:val="22"/>
      <w:lang w:val="da-DK" w:eastAsia="en-US"/>
    </w:rPr>
  </w:style>
  <w:style w:type="paragraph" w:styleId="Sidefod">
    <w:name w:val="footer"/>
    <w:basedOn w:val="Normal"/>
    <w:link w:val="SidefodTegn"/>
    <w:uiPriority w:val="99"/>
    <w:semiHidden/>
    <w:unhideWhenUsed/>
    <w:rsid w:val="00BF46D7"/>
    <w:pPr>
      <w:tabs>
        <w:tab w:val="center" w:pos="4819"/>
        <w:tab w:val="right" w:pos="9638"/>
      </w:tabs>
    </w:pPr>
  </w:style>
  <w:style w:type="character" w:customStyle="1" w:styleId="SidefodTegn">
    <w:name w:val="Sidefod Tegn"/>
    <w:link w:val="Sidefod"/>
    <w:uiPriority w:val="99"/>
    <w:semiHidden/>
    <w:rsid w:val="00BF46D7"/>
    <w:rPr>
      <w:sz w:val="24"/>
      <w:szCs w:val="22"/>
      <w:lang w:val="da-DK" w:eastAsia="en-US"/>
    </w:rPr>
  </w:style>
  <w:style w:type="paragraph" w:styleId="Fodnotetekst">
    <w:name w:val="footnote text"/>
    <w:basedOn w:val="Normal"/>
    <w:link w:val="FodnotetekstTegn"/>
    <w:uiPriority w:val="99"/>
    <w:semiHidden/>
    <w:unhideWhenUsed/>
    <w:rsid w:val="00D91F2D"/>
    <w:pPr>
      <w:spacing w:after="0" w:line="240" w:lineRule="auto"/>
      <w:jc w:val="both"/>
    </w:pPr>
    <w:rPr>
      <w:rFonts w:eastAsiaTheme="minorHAnsi" w:cstheme="minorBidi"/>
      <w:sz w:val="20"/>
      <w:szCs w:val="20"/>
    </w:rPr>
  </w:style>
  <w:style w:type="character" w:customStyle="1" w:styleId="FodnotetekstTegn">
    <w:name w:val="Fodnotetekst Tegn"/>
    <w:basedOn w:val="Standardskrifttypeiafsnit"/>
    <w:link w:val="Fodnotetekst"/>
    <w:uiPriority w:val="99"/>
    <w:semiHidden/>
    <w:rsid w:val="00D91F2D"/>
    <w:rPr>
      <w:rFonts w:eastAsiaTheme="minorHAnsi" w:cstheme="minorBidi"/>
      <w:lang w:val="da-DK" w:eastAsia="en-US"/>
    </w:rPr>
  </w:style>
  <w:style w:type="paragraph" w:styleId="Ingenafstand">
    <w:name w:val="No Spacing"/>
    <w:uiPriority w:val="1"/>
    <w:qFormat/>
    <w:rsid w:val="00D91F2D"/>
    <w:rPr>
      <w:rFonts w:asciiTheme="minorHAnsi" w:eastAsiaTheme="minorHAnsi" w:hAnsiTheme="minorHAnsi" w:cstheme="minorBidi"/>
      <w:sz w:val="22"/>
      <w:szCs w:val="22"/>
      <w:lang w:val="da-DK" w:eastAsia="en-US"/>
    </w:rPr>
  </w:style>
  <w:style w:type="character" w:styleId="Fodnotehenvisning">
    <w:name w:val="footnote reference"/>
    <w:basedOn w:val="Standardskrifttypeiafsnit"/>
    <w:uiPriority w:val="99"/>
    <w:semiHidden/>
    <w:unhideWhenUsed/>
    <w:rsid w:val="00D91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8166">
      <w:bodyDiv w:val="1"/>
      <w:marLeft w:val="0"/>
      <w:marRight w:val="0"/>
      <w:marTop w:val="0"/>
      <w:marBottom w:val="0"/>
      <w:divBdr>
        <w:top w:val="none" w:sz="0" w:space="0" w:color="auto"/>
        <w:left w:val="none" w:sz="0" w:space="0" w:color="auto"/>
        <w:bottom w:val="none" w:sz="0" w:space="0" w:color="auto"/>
        <w:right w:val="none" w:sz="0" w:space="0" w:color="auto"/>
      </w:divBdr>
    </w:div>
    <w:div w:id="764115759">
      <w:bodyDiv w:val="1"/>
      <w:marLeft w:val="0"/>
      <w:marRight w:val="0"/>
      <w:marTop w:val="0"/>
      <w:marBottom w:val="0"/>
      <w:divBdr>
        <w:top w:val="none" w:sz="0" w:space="0" w:color="auto"/>
        <w:left w:val="none" w:sz="0" w:space="0" w:color="auto"/>
        <w:bottom w:val="none" w:sz="0" w:space="0" w:color="auto"/>
        <w:right w:val="none" w:sz="0" w:space="0" w:color="auto"/>
      </w:divBdr>
    </w:div>
    <w:div w:id="14251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23071\Downloads\uppskot-til-r&#237;kisl&#243;gartilm&#230;li.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6835-4D6B-4107-A9DA-A5F3E5AA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uppskot-til-ríkislógartilmæli</Template>
  <TotalTime>1</TotalTime>
  <Pages>9</Pages>
  <Words>2184</Words>
  <Characters>13327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Uppskot til ríkislógartilmæli</vt:lpstr>
    </vt:vector>
  </TitlesOfParts>
  <Company>Lógartænastan</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ríkislógartilmæli</dc:title>
  <dc:subject>Uppskot til ríkislógartilmæli 5. útgáva, desember 2020</dc:subject>
  <dc:creator>Elinborg Apol</dc:creator>
  <cp:keywords>5. útgáva - desember 2020</cp:keywords>
  <dc:description/>
  <cp:lastModifiedBy>Hildur Magnadóttir</cp:lastModifiedBy>
  <cp:revision>2</cp:revision>
  <dcterms:created xsi:type="dcterms:W3CDTF">2024-01-09T19:25:00Z</dcterms:created>
  <dcterms:modified xsi:type="dcterms:W3CDTF">2024-01-09T19:25:00Z</dcterms:modified>
</cp:coreProperties>
</file>