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C65E2" w14:textId="77A0CF1F" w:rsidR="00EC3371" w:rsidRPr="009F1A54" w:rsidRDefault="00EC3371" w:rsidP="009F1A54">
      <w:pPr>
        <w:jc w:val="center"/>
        <w:rPr>
          <w:rStyle w:val="TypografiFed"/>
          <w:bCs w:val="0"/>
          <w:sz w:val="32"/>
          <w:szCs w:val="32"/>
        </w:rPr>
      </w:pPr>
      <w:r w:rsidRPr="00397B4A">
        <w:rPr>
          <w:b/>
          <w:noProof/>
          <w:sz w:val="32"/>
          <w:szCs w:val="32"/>
          <w:lang w:val="fo-FO" w:eastAsia="fo-FO"/>
        </w:rPr>
        <w:drawing>
          <wp:anchor distT="0" distB="0" distL="114300" distR="114300" simplePos="0" relativeHeight="251659264" behindDoc="0" locked="0" layoutInCell="1" allowOverlap="1" wp14:anchorId="47736F2B" wp14:editId="327C989E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619125" cy="660400"/>
            <wp:effectExtent l="0" t="0" r="9525" b="635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dr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2491E">
        <w:rPr>
          <w:b/>
          <w:sz w:val="32"/>
          <w:szCs w:val="32"/>
        </w:rPr>
        <w:t>Umhvørivsmálaráðið</w:t>
      </w:r>
      <w:proofErr w:type="spellEnd"/>
    </w:p>
    <w:p w14:paraId="001D528B" w14:textId="77777777" w:rsidR="00EC3371" w:rsidRPr="00397B4A" w:rsidRDefault="00EC3371" w:rsidP="00EC3371">
      <w:pPr>
        <w:spacing w:after="0"/>
        <w:rPr>
          <w:rStyle w:val="TypografiFed"/>
          <w:b w:val="0"/>
        </w:rPr>
      </w:pPr>
    </w:p>
    <w:p w14:paraId="7FF43DE3" w14:textId="77777777" w:rsidR="004D5A6C" w:rsidRDefault="004D5A6C" w:rsidP="004D5A6C">
      <w:pPr>
        <w:spacing w:after="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23"/>
        <w:gridCol w:w="1697"/>
      </w:tblGrid>
      <w:tr w:rsidR="0088651F" w:rsidRPr="00E40944" w14:paraId="007C4E4C" w14:textId="77777777" w:rsidTr="004D5A6C">
        <w:trPr>
          <w:trHeight w:val="344"/>
          <w:jc w:val="right"/>
        </w:trPr>
        <w:tc>
          <w:tcPr>
            <w:tcW w:w="0" w:type="auto"/>
            <w:hideMark/>
          </w:tcPr>
          <w:p w14:paraId="57F731CA" w14:textId="77777777" w:rsidR="0088651F" w:rsidRPr="00E40944" w:rsidRDefault="0088651F" w:rsidP="004D5A6C">
            <w:pPr>
              <w:spacing w:after="0" w:line="256" w:lineRule="auto"/>
              <w:rPr>
                <w:szCs w:val="24"/>
                <w:lang w:eastAsia="fo-FO"/>
              </w:rPr>
            </w:pPr>
            <w:proofErr w:type="spellStart"/>
            <w:r w:rsidRPr="00E40944">
              <w:rPr>
                <w:szCs w:val="24"/>
              </w:rPr>
              <w:t>Dagfesting</w:t>
            </w:r>
            <w:proofErr w:type="spellEnd"/>
            <w:r w:rsidRPr="00E40944">
              <w:rPr>
                <w:szCs w:val="24"/>
              </w:rPr>
              <w:t>:</w:t>
            </w:r>
            <w:r w:rsidRPr="00E40944">
              <w:rPr>
                <w:noProof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14:paraId="413DF211" w14:textId="596D6D6A" w:rsidR="0088651F" w:rsidRPr="00E40944" w:rsidRDefault="007C75EC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xx.xx.xxxx</w:t>
            </w:r>
            <w:proofErr w:type="spellEnd"/>
          </w:p>
        </w:tc>
      </w:tr>
      <w:tr w:rsidR="0088651F" w:rsidRPr="00E40944" w14:paraId="4E8EC27A" w14:textId="77777777" w:rsidTr="004D5A6C">
        <w:trPr>
          <w:trHeight w:val="361"/>
          <w:jc w:val="right"/>
        </w:trPr>
        <w:tc>
          <w:tcPr>
            <w:tcW w:w="0" w:type="auto"/>
            <w:hideMark/>
          </w:tcPr>
          <w:p w14:paraId="3BD45E1A" w14:textId="77777777" w:rsidR="0088651F" w:rsidRPr="00E40944" w:rsidRDefault="0088651F" w:rsidP="004D5A6C">
            <w:pPr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Mál</w:t>
            </w:r>
            <w:proofErr w:type="spellEnd"/>
            <w:r w:rsidRPr="00E40944">
              <w:rPr>
                <w:szCs w:val="24"/>
              </w:rPr>
              <w:t xml:space="preserve"> nr.:</w:t>
            </w:r>
          </w:p>
        </w:tc>
        <w:tc>
          <w:tcPr>
            <w:tcW w:w="0" w:type="auto"/>
            <w:hideMark/>
          </w:tcPr>
          <w:p w14:paraId="5D2AD087" w14:textId="059E4FC7" w:rsidR="0088651F" w:rsidRPr="00E40944" w:rsidRDefault="00A2491E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24/14992</w:t>
            </w:r>
          </w:p>
        </w:tc>
      </w:tr>
      <w:tr w:rsidR="0088651F" w:rsidRPr="00E40944" w14:paraId="64CCC41B" w14:textId="77777777" w:rsidTr="004D5A6C">
        <w:trPr>
          <w:trHeight w:val="344"/>
          <w:jc w:val="right"/>
        </w:trPr>
        <w:tc>
          <w:tcPr>
            <w:tcW w:w="0" w:type="auto"/>
            <w:hideMark/>
          </w:tcPr>
          <w:p w14:paraId="55C7B0B0" w14:textId="77777777" w:rsidR="0088651F" w:rsidRPr="00E40944" w:rsidRDefault="0088651F" w:rsidP="004D5A6C">
            <w:pPr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Málsviðgjørt</w:t>
            </w:r>
            <w:proofErr w:type="spellEnd"/>
            <w:r w:rsidRPr="00E40944">
              <w:rPr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14:paraId="68D23F21" w14:textId="015325A0" w:rsidR="0088651F" w:rsidRPr="00E40944" w:rsidRDefault="00A2491E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szCs w:val="24"/>
              </w:rPr>
            </w:pPr>
            <w:r>
              <w:rPr>
                <w:szCs w:val="24"/>
              </w:rPr>
              <w:t>TS</w:t>
            </w:r>
          </w:p>
        </w:tc>
      </w:tr>
      <w:tr w:rsidR="0088651F" w:rsidRPr="00E40944" w14:paraId="68273F53" w14:textId="77777777" w:rsidTr="004D5A6C">
        <w:trPr>
          <w:trHeight w:val="344"/>
          <w:jc w:val="right"/>
        </w:trPr>
        <w:tc>
          <w:tcPr>
            <w:tcW w:w="0" w:type="auto"/>
            <w:hideMark/>
          </w:tcPr>
          <w:p w14:paraId="1E8C27F6" w14:textId="77777777" w:rsidR="0088651F" w:rsidRPr="00E40944" w:rsidRDefault="0088651F" w:rsidP="004D5A6C">
            <w:pPr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Ummælistíð</w:t>
            </w:r>
            <w:proofErr w:type="spellEnd"/>
            <w:r w:rsidRPr="00E40944">
              <w:rPr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14:paraId="233BB654" w14:textId="77777777" w:rsidR="007C75EC" w:rsidRDefault="007C75EC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color w:val="000000" w:themeColor="text1"/>
                <w:szCs w:val="24"/>
              </w:rPr>
            </w:pPr>
            <w:proofErr w:type="spellStart"/>
            <w:r>
              <w:rPr>
                <w:color w:val="000000" w:themeColor="text1"/>
                <w:szCs w:val="24"/>
              </w:rPr>
              <w:t>Frá</w:t>
            </w:r>
            <w:proofErr w:type="spellEnd"/>
            <w:r>
              <w:rPr>
                <w:color w:val="000000" w:themeColor="text1"/>
                <w:szCs w:val="24"/>
              </w:rPr>
              <w:t xml:space="preserve"> 20 juni</w:t>
            </w:r>
            <w:r>
              <w:rPr>
                <w:color w:val="000000" w:themeColor="text1"/>
                <w:szCs w:val="24"/>
              </w:rPr>
              <w:br/>
              <w:t xml:space="preserve">2024 til 09. juli </w:t>
            </w:r>
          </w:p>
          <w:p w14:paraId="01E5CE48" w14:textId="714A8DAE" w:rsidR="0088651F" w:rsidRPr="00CD0EEF" w:rsidRDefault="007C75EC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color w:val="FF0000"/>
                <w:szCs w:val="24"/>
              </w:rPr>
            </w:pPr>
            <w:r>
              <w:rPr>
                <w:color w:val="000000" w:themeColor="text1"/>
                <w:szCs w:val="24"/>
              </w:rPr>
              <w:t>2024 kl. 12:00</w:t>
            </w:r>
          </w:p>
        </w:tc>
      </w:tr>
      <w:tr w:rsidR="0088651F" w:rsidRPr="00E40944" w14:paraId="2A82C365" w14:textId="77777777" w:rsidTr="004D5A6C">
        <w:trPr>
          <w:trHeight w:val="565"/>
          <w:jc w:val="right"/>
        </w:trPr>
        <w:tc>
          <w:tcPr>
            <w:tcW w:w="0" w:type="auto"/>
            <w:hideMark/>
          </w:tcPr>
          <w:p w14:paraId="44B54293" w14:textId="77777777" w:rsidR="0088651F" w:rsidRPr="00E40944" w:rsidRDefault="0088651F" w:rsidP="004D5A6C">
            <w:pPr>
              <w:spacing w:after="0" w:line="256" w:lineRule="auto"/>
              <w:rPr>
                <w:szCs w:val="24"/>
              </w:rPr>
            </w:pPr>
            <w:proofErr w:type="spellStart"/>
            <w:r w:rsidRPr="00E40944">
              <w:rPr>
                <w:szCs w:val="24"/>
              </w:rPr>
              <w:t>Eftirkannað</w:t>
            </w:r>
            <w:proofErr w:type="spellEnd"/>
            <w:r w:rsidRPr="00E40944">
              <w:rPr>
                <w:szCs w:val="24"/>
              </w:rPr>
              <w:t>:</w:t>
            </w:r>
          </w:p>
        </w:tc>
        <w:tc>
          <w:tcPr>
            <w:tcW w:w="0" w:type="auto"/>
            <w:hideMark/>
          </w:tcPr>
          <w:p w14:paraId="78C7CFB3" w14:textId="77777777" w:rsidR="0088651F" w:rsidRPr="007C75EC" w:rsidRDefault="0088651F" w:rsidP="004D5A6C">
            <w:pPr>
              <w:tabs>
                <w:tab w:val="center" w:pos="4513"/>
                <w:tab w:val="right" w:pos="9026"/>
              </w:tabs>
              <w:spacing w:after="0" w:line="256" w:lineRule="auto"/>
              <w:rPr>
                <w:color w:val="000000" w:themeColor="text1"/>
                <w:szCs w:val="24"/>
              </w:rPr>
            </w:pPr>
            <w:proofErr w:type="spellStart"/>
            <w:r w:rsidRPr="007C75EC">
              <w:rPr>
                <w:color w:val="000000" w:themeColor="text1"/>
                <w:szCs w:val="24"/>
              </w:rPr>
              <w:t>Lógartænastan</w:t>
            </w:r>
            <w:proofErr w:type="spellEnd"/>
          </w:p>
          <w:p w14:paraId="2477FF1D" w14:textId="77777777" w:rsidR="0088651F" w:rsidRPr="00CD0EEF" w:rsidRDefault="0088651F">
            <w:pPr>
              <w:tabs>
                <w:tab w:val="center" w:pos="4513"/>
                <w:tab w:val="right" w:pos="9026"/>
              </w:tabs>
              <w:spacing w:line="256" w:lineRule="auto"/>
              <w:rPr>
                <w:color w:val="FF0000"/>
                <w:szCs w:val="24"/>
              </w:rPr>
            </w:pPr>
            <w:proofErr w:type="spellStart"/>
            <w:r w:rsidRPr="007C75EC">
              <w:rPr>
                <w:color w:val="000000" w:themeColor="text1"/>
                <w:szCs w:val="24"/>
              </w:rPr>
              <w:t>dagfestir</w:t>
            </w:r>
            <w:proofErr w:type="spellEnd"/>
            <w:r w:rsidRPr="007C75EC">
              <w:rPr>
                <w:color w:val="000000" w:themeColor="text1"/>
                <w:szCs w:val="24"/>
              </w:rPr>
              <w:t xml:space="preserve"> </w:t>
            </w:r>
          </w:p>
        </w:tc>
      </w:tr>
    </w:tbl>
    <w:p w14:paraId="758EB495" w14:textId="77777777" w:rsidR="00EC3371" w:rsidRPr="00397B4A" w:rsidRDefault="00EC3371" w:rsidP="00EC3371">
      <w:pPr>
        <w:spacing w:after="0"/>
        <w:rPr>
          <w:rStyle w:val="TypografiFed"/>
          <w:b w:val="0"/>
        </w:rPr>
      </w:pPr>
    </w:p>
    <w:p w14:paraId="7EB2AF7C" w14:textId="77777777" w:rsidR="00EC3371" w:rsidRPr="00397B4A" w:rsidRDefault="00EC3371" w:rsidP="00EC3371">
      <w:pPr>
        <w:spacing w:after="0"/>
        <w:jc w:val="center"/>
        <w:rPr>
          <w:b/>
          <w:szCs w:val="24"/>
        </w:rPr>
      </w:pPr>
      <w:bookmarkStart w:id="0" w:name="_Hlk169184759"/>
      <w:proofErr w:type="spellStart"/>
      <w:r w:rsidRPr="00397B4A">
        <w:rPr>
          <w:b/>
          <w:szCs w:val="24"/>
        </w:rPr>
        <w:t>Uppskot</w:t>
      </w:r>
      <w:proofErr w:type="spellEnd"/>
      <w:r w:rsidRPr="00397B4A">
        <w:rPr>
          <w:b/>
          <w:szCs w:val="24"/>
        </w:rPr>
        <w:t xml:space="preserve"> til</w:t>
      </w:r>
    </w:p>
    <w:p w14:paraId="280335E3" w14:textId="77777777" w:rsidR="00EC3371" w:rsidRPr="00397B4A" w:rsidRDefault="00EC3371" w:rsidP="00EC3371">
      <w:pPr>
        <w:spacing w:after="0"/>
        <w:jc w:val="center"/>
        <w:rPr>
          <w:b/>
          <w:szCs w:val="24"/>
        </w:rPr>
      </w:pPr>
    </w:p>
    <w:p w14:paraId="1E371976" w14:textId="0446F761" w:rsidR="00EC3371" w:rsidRPr="00397B4A" w:rsidRDefault="00EC3371" w:rsidP="00EC3371">
      <w:pPr>
        <w:spacing w:after="0"/>
        <w:jc w:val="center"/>
        <w:rPr>
          <w:b/>
          <w:szCs w:val="24"/>
        </w:rPr>
      </w:pPr>
      <w:proofErr w:type="spellStart"/>
      <w:r w:rsidRPr="00397B4A">
        <w:rPr>
          <w:b/>
          <w:szCs w:val="24"/>
        </w:rPr>
        <w:t>Kunngerð</w:t>
      </w:r>
      <w:proofErr w:type="spellEnd"/>
      <w:r w:rsidRPr="00397B4A">
        <w:rPr>
          <w:b/>
          <w:szCs w:val="24"/>
        </w:rPr>
        <w:t xml:space="preserve"> </w:t>
      </w:r>
      <w:proofErr w:type="spellStart"/>
      <w:r w:rsidRPr="00397B4A">
        <w:rPr>
          <w:b/>
          <w:szCs w:val="24"/>
        </w:rPr>
        <w:t>um</w:t>
      </w:r>
      <w:proofErr w:type="spellEnd"/>
      <w:r w:rsidRPr="00397B4A">
        <w:rPr>
          <w:b/>
          <w:szCs w:val="24"/>
        </w:rPr>
        <w:t xml:space="preserve"> </w:t>
      </w:r>
      <w:proofErr w:type="spellStart"/>
      <w:r w:rsidRPr="00397B4A">
        <w:rPr>
          <w:b/>
          <w:szCs w:val="24"/>
        </w:rPr>
        <w:t>broyting</w:t>
      </w:r>
      <w:proofErr w:type="spellEnd"/>
      <w:r w:rsidRPr="00397B4A">
        <w:rPr>
          <w:b/>
          <w:szCs w:val="24"/>
        </w:rPr>
        <w:t xml:space="preserve"> í </w:t>
      </w:r>
      <w:proofErr w:type="spellStart"/>
      <w:r w:rsidRPr="00397B4A">
        <w:rPr>
          <w:b/>
          <w:szCs w:val="24"/>
        </w:rPr>
        <w:t>kunngerð</w:t>
      </w:r>
      <w:proofErr w:type="spellEnd"/>
      <w:r w:rsidRPr="00397B4A">
        <w:rPr>
          <w:b/>
          <w:szCs w:val="24"/>
        </w:rPr>
        <w:t xml:space="preserve"> </w:t>
      </w:r>
      <w:proofErr w:type="spellStart"/>
      <w:r w:rsidRPr="00397B4A">
        <w:rPr>
          <w:b/>
          <w:szCs w:val="24"/>
        </w:rPr>
        <w:t>um</w:t>
      </w:r>
      <w:proofErr w:type="spellEnd"/>
      <w:r w:rsidRPr="00397B4A">
        <w:rPr>
          <w:b/>
          <w:szCs w:val="24"/>
        </w:rPr>
        <w:t xml:space="preserve"> </w:t>
      </w:r>
      <w:proofErr w:type="spellStart"/>
      <w:r w:rsidR="00A2491E">
        <w:rPr>
          <w:b/>
          <w:szCs w:val="24"/>
        </w:rPr>
        <w:t>umsiting</w:t>
      </w:r>
      <w:proofErr w:type="spellEnd"/>
      <w:r w:rsidR="00A2491E">
        <w:rPr>
          <w:b/>
          <w:szCs w:val="24"/>
        </w:rPr>
        <w:t xml:space="preserve"> av </w:t>
      </w:r>
      <w:proofErr w:type="spellStart"/>
      <w:r w:rsidR="00A2491E">
        <w:rPr>
          <w:b/>
          <w:szCs w:val="24"/>
        </w:rPr>
        <w:t>Barsilsskipan</w:t>
      </w:r>
      <w:proofErr w:type="spellEnd"/>
    </w:p>
    <w:p w14:paraId="42D88F18" w14:textId="4B30843A" w:rsidR="00EC3371" w:rsidRPr="00397B4A" w:rsidRDefault="00EC3371" w:rsidP="00EC3371">
      <w:pPr>
        <w:spacing w:after="0"/>
        <w:jc w:val="center"/>
        <w:rPr>
          <w:szCs w:val="24"/>
        </w:rPr>
      </w:pPr>
      <w:r w:rsidRPr="00397B4A">
        <w:rPr>
          <w:szCs w:val="24"/>
        </w:rPr>
        <w:t>(</w:t>
      </w:r>
      <w:proofErr w:type="spellStart"/>
      <w:r w:rsidR="00910DF7">
        <w:t>U</w:t>
      </w:r>
      <w:r w:rsidR="00A2491E">
        <w:t>pprokna</w:t>
      </w:r>
      <w:proofErr w:type="spellEnd"/>
      <w:r w:rsidR="00A2491E">
        <w:t xml:space="preserve"> </w:t>
      </w:r>
      <w:proofErr w:type="spellStart"/>
      <w:r w:rsidR="00A2491E">
        <w:t>býtingartal</w:t>
      </w:r>
      <w:proofErr w:type="spellEnd"/>
      <w:r w:rsidR="00A2491E">
        <w:t xml:space="preserve"> á </w:t>
      </w:r>
      <w:proofErr w:type="spellStart"/>
      <w:r w:rsidR="00A2491E">
        <w:t>útrokningargrundarlagið</w:t>
      </w:r>
      <w:proofErr w:type="spellEnd"/>
      <w:r w:rsidR="00A2491E">
        <w:t xml:space="preserve"> </w:t>
      </w:r>
      <w:proofErr w:type="spellStart"/>
      <w:r w:rsidR="00A2491E">
        <w:t>hjá</w:t>
      </w:r>
      <w:proofErr w:type="spellEnd"/>
      <w:r w:rsidR="00A2491E">
        <w:t xml:space="preserve"> </w:t>
      </w:r>
      <w:proofErr w:type="spellStart"/>
      <w:r w:rsidR="00A2491E">
        <w:t>nýútbúnum</w:t>
      </w:r>
      <w:proofErr w:type="spellEnd"/>
      <w:r w:rsidRPr="00397B4A">
        <w:rPr>
          <w:szCs w:val="24"/>
        </w:rPr>
        <w:t>)</w:t>
      </w:r>
    </w:p>
    <w:bookmarkEnd w:id="0"/>
    <w:p w14:paraId="08F673A6" w14:textId="77777777" w:rsidR="00EC3371" w:rsidRPr="00397B4A" w:rsidRDefault="00EC3371" w:rsidP="00EC3371">
      <w:pPr>
        <w:spacing w:after="0"/>
        <w:jc w:val="center"/>
        <w:rPr>
          <w:szCs w:val="24"/>
        </w:rPr>
      </w:pPr>
    </w:p>
    <w:p w14:paraId="71BF584E" w14:textId="77777777" w:rsidR="00EC3371" w:rsidRPr="00397B4A" w:rsidRDefault="00EC3371" w:rsidP="00EC3371">
      <w:pPr>
        <w:spacing w:after="0"/>
        <w:jc w:val="center"/>
        <w:rPr>
          <w:szCs w:val="24"/>
        </w:rPr>
      </w:pPr>
    </w:p>
    <w:p w14:paraId="54ABA098" w14:textId="77777777" w:rsidR="00EC3371" w:rsidRPr="00397B4A" w:rsidRDefault="00EC3371" w:rsidP="00EC3371">
      <w:pPr>
        <w:spacing w:after="0"/>
        <w:rPr>
          <w:rStyle w:val="TypografiKursiv"/>
          <w:i w:val="0"/>
        </w:rPr>
        <w:sectPr w:rsidR="00EC3371" w:rsidRPr="00397B4A" w:rsidSect="00D229E8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573CD596" w14:textId="77777777" w:rsidR="00EC3371" w:rsidRPr="004D5A6C" w:rsidRDefault="00EC3371" w:rsidP="004D5A6C">
      <w:pPr>
        <w:jc w:val="center"/>
        <w:rPr>
          <w:b/>
        </w:rPr>
      </w:pPr>
      <w:r w:rsidRPr="004D5A6C">
        <w:rPr>
          <w:b/>
        </w:rPr>
        <w:t>§ 1</w:t>
      </w:r>
    </w:p>
    <w:p w14:paraId="53DACAAF" w14:textId="77777777" w:rsidR="00EC3371" w:rsidRPr="00397B4A" w:rsidRDefault="00EC3371" w:rsidP="00EC3371">
      <w:pPr>
        <w:spacing w:after="0"/>
      </w:pPr>
    </w:p>
    <w:p w14:paraId="0B9E8AB2" w14:textId="621927C9" w:rsidR="00EC3371" w:rsidRPr="00397B4A" w:rsidRDefault="00EC3371" w:rsidP="00CD0EEF">
      <w:pPr>
        <w:spacing w:after="0"/>
      </w:pPr>
      <w:r w:rsidRPr="00397B4A">
        <w:t xml:space="preserve">Í </w:t>
      </w:r>
      <w:proofErr w:type="spellStart"/>
      <w:r w:rsidRPr="00397B4A">
        <w:t>kunngerð</w:t>
      </w:r>
      <w:proofErr w:type="spellEnd"/>
      <w:r w:rsidRPr="00397B4A">
        <w:t xml:space="preserve"> nr. </w:t>
      </w:r>
      <w:r w:rsidR="0078147F">
        <w:t>91</w:t>
      </w:r>
      <w:r w:rsidRPr="00397B4A">
        <w:t xml:space="preserve"> </w:t>
      </w:r>
      <w:proofErr w:type="spellStart"/>
      <w:r w:rsidRPr="00397B4A">
        <w:t>frá</w:t>
      </w:r>
      <w:proofErr w:type="spellEnd"/>
      <w:r w:rsidRPr="00397B4A">
        <w:t xml:space="preserve"> </w:t>
      </w:r>
      <w:r w:rsidR="0078147F">
        <w:t>31.mai 2001</w:t>
      </w:r>
      <w:r w:rsidRPr="00397B4A">
        <w:t xml:space="preserve"> </w:t>
      </w:r>
      <w:proofErr w:type="spellStart"/>
      <w:r w:rsidRPr="00397B4A">
        <w:t>um</w:t>
      </w:r>
      <w:proofErr w:type="spellEnd"/>
      <w:r w:rsidRPr="00397B4A">
        <w:t xml:space="preserve"> </w:t>
      </w:r>
      <w:proofErr w:type="spellStart"/>
      <w:r w:rsidR="00793F38">
        <w:t>umsiting</w:t>
      </w:r>
      <w:proofErr w:type="spellEnd"/>
      <w:r w:rsidR="00793F38">
        <w:t xml:space="preserve"> av </w:t>
      </w:r>
      <w:proofErr w:type="spellStart"/>
      <w:r w:rsidR="00793F38">
        <w:t>Barsilsskipan</w:t>
      </w:r>
      <w:proofErr w:type="spellEnd"/>
      <w:r w:rsidRPr="00397B4A">
        <w:t xml:space="preserve">, </w:t>
      </w:r>
      <w:r w:rsidR="007407EA">
        <w:t xml:space="preserve">sum </w:t>
      </w:r>
      <w:proofErr w:type="spellStart"/>
      <w:r w:rsidR="007407EA">
        <w:t>broytt</w:t>
      </w:r>
      <w:proofErr w:type="spellEnd"/>
      <w:r w:rsidR="007407EA">
        <w:t xml:space="preserve"> </w:t>
      </w:r>
      <w:proofErr w:type="spellStart"/>
      <w:r w:rsidR="007407EA">
        <w:t>við</w:t>
      </w:r>
      <w:proofErr w:type="spellEnd"/>
      <w:r w:rsidR="007407EA">
        <w:t xml:space="preserve"> </w:t>
      </w:r>
      <w:proofErr w:type="spellStart"/>
      <w:r w:rsidR="007407EA">
        <w:t>kunngerð</w:t>
      </w:r>
      <w:proofErr w:type="spellEnd"/>
      <w:r w:rsidR="007407EA">
        <w:t xml:space="preserve"> nr. 119 </w:t>
      </w:r>
      <w:proofErr w:type="spellStart"/>
      <w:r w:rsidR="007407EA">
        <w:t>frá</w:t>
      </w:r>
      <w:proofErr w:type="spellEnd"/>
      <w:r w:rsidR="007407EA">
        <w:t xml:space="preserve"> 5. </w:t>
      </w:r>
      <w:proofErr w:type="spellStart"/>
      <w:r w:rsidR="007407EA">
        <w:t>desember</w:t>
      </w:r>
      <w:proofErr w:type="spellEnd"/>
      <w:r w:rsidR="007407EA">
        <w:t xml:space="preserve"> 2016, </w:t>
      </w:r>
      <w:proofErr w:type="spellStart"/>
      <w:r w:rsidR="007407EA">
        <w:t>kunngerð</w:t>
      </w:r>
      <w:proofErr w:type="spellEnd"/>
      <w:r w:rsidR="007407EA">
        <w:t xml:space="preserve"> nr. 19 </w:t>
      </w:r>
      <w:proofErr w:type="spellStart"/>
      <w:r w:rsidR="007407EA">
        <w:t>frá</w:t>
      </w:r>
      <w:proofErr w:type="spellEnd"/>
      <w:r w:rsidR="007407EA">
        <w:t xml:space="preserve"> 16. </w:t>
      </w:r>
      <w:proofErr w:type="spellStart"/>
      <w:r w:rsidR="007407EA">
        <w:t>mars</w:t>
      </w:r>
      <w:proofErr w:type="spellEnd"/>
      <w:r w:rsidR="007407EA">
        <w:t xml:space="preserve"> 2018 og </w:t>
      </w:r>
      <w:proofErr w:type="spellStart"/>
      <w:r w:rsidR="007407EA">
        <w:t>kunngerð</w:t>
      </w:r>
      <w:proofErr w:type="spellEnd"/>
      <w:r w:rsidR="007407EA">
        <w:t xml:space="preserve"> nr. 98 </w:t>
      </w:r>
      <w:proofErr w:type="spellStart"/>
      <w:r w:rsidR="007407EA">
        <w:t>frá</w:t>
      </w:r>
      <w:proofErr w:type="spellEnd"/>
      <w:r w:rsidR="007407EA">
        <w:t xml:space="preserve"> 7. september 2023 </w:t>
      </w:r>
      <w:proofErr w:type="spellStart"/>
      <w:r w:rsidRPr="00397B4A">
        <w:t>verða</w:t>
      </w:r>
      <w:proofErr w:type="spellEnd"/>
      <w:r w:rsidRPr="00397B4A">
        <w:t xml:space="preserve"> </w:t>
      </w:r>
      <w:proofErr w:type="spellStart"/>
      <w:r w:rsidRPr="00397B4A">
        <w:t>gjørdar</w:t>
      </w:r>
      <w:proofErr w:type="spellEnd"/>
      <w:r w:rsidRPr="00397B4A">
        <w:t xml:space="preserve"> </w:t>
      </w:r>
      <w:proofErr w:type="spellStart"/>
      <w:r w:rsidRPr="00397B4A">
        <w:t>hesar</w:t>
      </w:r>
      <w:proofErr w:type="spellEnd"/>
      <w:r w:rsidRPr="00397B4A">
        <w:t xml:space="preserve"> </w:t>
      </w:r>
      <w:proofErr w:type="spellStart"/>
      <w:r w:rsidRPr="00397B4A">
        <w:t>broytingar</w:t>
      </w:r>
      <w:proofErr w:type="spellEnd"/>
      <w:r w:rsidRPr="00397B4A">
        <w:t>:</w:t>
      </w:r>
    </w:p>
    <w:p w14:paraId="5C3B9073" w14:textId="77777777" w:rsidR="00EC3371" w:rsidRPr="00397B4A" w:rsidRDefault="00EC3371" w:rsidP="00CD0EEF">
      <w:pPr>
        <w:spacing w:after="0"/>
      </w:pPr>
    </w:p>
    <w:p w14:paraId="43075042" w14:textId="77777777" w:rsidR="00EC3371" w:rsidRPr="007259DE" w:rsidRDefault="00EC3371" w:rsidP="00CD0EEF">
      <w:pPr>
        <w:spacing w:after="0"/>
        <w:rPr>
          <w:szCs w:val="24"/>
        </w:rPr>
      </w:pPr>
    </w:p>
    <w:p w14:paraId="18FE1BFE" w14:textId="0DAF1677" w:rsidR="005218E5" w:rsidRPr="00305E8A" w:rsidRDefault="005218E5" w:rsidP="00CD0EEF">
      <w:pPr>
        <w:pStyle w:val="Listeafsnit"/>
        <w:numPr>
          <w:ilvl w:val="0"/>
          <w:numId w:val="1"/>
        </w:numPr>
        <w:spacing w:after="0"/>
        <w:rPr>
          <w:szCs w:val="24"/>
          <w:lang w:val="fo-FO"/>
        </w:rPr>
      </w:pPr>
      <w:bookmarkStart w:id="1" w:name="_Hlk169179325"/>
      <w:proofErr w:type="spellStart"/>
      <w:r>
        <w:rPr>
          <w:szCs w:val="24"/>
        </w:rPr>
        <w:t>Aftan</w:t>
      </w:r>
      <w:proofErr w:type="spellEnd"/>
      <w:r w:rsidR="00C069F8">
        <w:rPr>
          <w:szCs w:val="24"/>
        </w:rPr>
        <w:t xml:space="preserve"> </w:t>
      </w:r>
      <w:r>
        <w:rPr>
          <w:szCs w:val="24"/>
        </w:rPr>
        <w:t xml:space="preserve">á § 2 </w:t>
      </w:r>
      <w:proofErr w:type="spellStart"/>
      <w:r>
        <w:rPr>
          <w:szCs w:val="24"/>
        </w:rPr>
        <w:t>verður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sett</w:t>
      </w:r>
      <w:proofErr w:type="spellEnd"/>
      <w:r>
        <w:rPr>
          <w:szCs w:val="24"/>
        </w:rPr>
        <w:t xml:space="preserve">: </w:t>
      </w:r>
      <w:r w:rsidR="00CE579F">
        <w:rPr>
          <w:szCs w:val="24"/>
        </w:rPr>
        <w:t xml:space="preserve"> </w:t>
      </w:r>
      <w:r w:rsidR="00FC2834">
        <w:rPr>
          <w:szCs w:val="24"/>
        </w:rPr>
        <w:br/>
      </w:r>
      <w:r w:rsidR="00CE579F" w:rsidRPr="00CE579F">
        <w:rPr>
          <w:b/>
          <w:bCs/>
          <w:lang w:val="fo-FO"/>
        </w:rPr>
        <w:t xml:space="preserve">§ 2 a. </w:t>
      </w:r>
      <w:proofErr w:type="spellStart"/>
      <w:r w:rsidR="00305E8A" w:rsidRPr="00305E8A">
        <w:rPr>
          <w:szCs w:val="24"/>
        </w:rPr>
        <w:t>Studningur</w:t>
      </w:r>
      <w:proofErr w:type="spellEnd"/>
      <w:r w:rsidR="00305E8A" w:rsidRPr="00305E8A">
        <w:rPr>
          <w:szCs w:val="24"/>
        </w:rPr>
        <w:t xml:space="preserve">, sum </w:t>
      </w:r>
      <w:proofErr w:type="spellStart"/>
      <w:r w:rsidR="00305E8A" w:rsidRPr="00305E8A">
        <w:rPr>
          <w:szCs w:val="24"/>
        </w:rPr>
        <w:t>telur</w:t>
      </w:r>
      <w:proofErr w:type="spellEnd"/>
      <w:r w:rsidR="00305E8A" w:rsidRPr="00305E8A">
        <w:rPr>
          <w:szCs w:val="24"/>
        </w:rPr>
        <w:t xml:space="preserve"> </w:t>
      </w:r>
      <w:proofErr w:type="spellStart"/>
      <w:r w:rsidR="00305E8A" w:rsidRPr="00305E8A">
        <w:rPr>
          <w:szCs w:val="24"/>
        </w:rPr>
        <w:t>við</w:t>
      </w:r>
      <w:proofErr w:type="spellEnd"/>
      <w:r w:rsidR="00305E8A" w:rsidRPr="00305E8A">
        <w:rPr>
          <w:szCs w:val="24"/>
        </w:rPr>
        <w:t xml:space="preserve"> í </w:t>
      </w:r>
      <w:proofErr w:type="spellStart"/>
      <w:r w:rsidR="00305E8A" w:rsidRPr="00305E8A">
        <w:rPr>
          <w:szCs w:val="24"/>
        </w:rPr>
        <w:t>útrokningargrundarlagið</w:t>
      </w:r>
      <w:proofErr w:type="spellEnd"/>
      <w:r w:rsidR="00305E8A" w:rsidRPr="00305E8A">
        <w:rPr>
          <w:szCs w:val="24"/>
        </w:rPr>
        <w:t xml:space="preserve"> </w:t>
      </w:r>
      <w:proofErr w:type="spellStart"/>
      <w:r w:rsidR="00305E8A" w:rsidRPr="00305E8A">
        <w:rPr>
          <w:szCs w:val="24"/>
        </w:rPr>
        <w:t>hjá</w:t>
      </w:r>
      <w:proofErr w:type="spellEnd"/>
      <w:r w:rsidR="00305E8A" w:rsidRPr="00305E8A">
        <w:rPr>
          <w:szCs w:val="24"/>
        </w:rPr>
        <w:t xml:space="preserve"> </w:t>
      </w:r>
      <w:proofErr w:type="spellStart"/>
      <w:r w:rsidR="00305E8A" w:rsidRPr="00305E8A">
        <w:rPr>
          <w:szCs w:val="24"/>
        </w:rPr>
        <w:t>nýútbúnum</w:t>
      </w:r>
      <w:proofErr w:type="spellEnd"/>
      <w:r w:rsidR="00305E8A" w:rsidRPr="00305E8A">
        <w:rPr>
          <w:szCs w:val="24"/>
        </w:rPr>
        <w:t xml:space="preserve"> </w:t>
      </w:r>
      <w:proofErr w:type="spellStart"/>
      <w:r w:rsidR="00305E8A" w:rsidRPr="00305E8A">
        <w:rPr>
          <w:szCs w:val="24"/>
        </w:rPr>
        <w:t>sbrt</w:t>
      </w:r>
      <w:proofErr w:type="spellEnd"/>
      <w:r w:rsidR="00305E8A" w:rsidRPr="00305E8A">
        <w:rPr>
          <w:szCs w:val="24"/>
        </w:rPr>
        <w:t xml:space="preserve">. § 20 a í </w:t>
      </w:r>
      <w:proofErr w:type="spellStart"/>
      <w:r w:rsidR="00305E8A" w:rsidRPr="00305E8A">
        <w:rPr>
          <w:szCs w:val="24"/>
        </w:rPr>
        <w:t>lógini</w:t>
      </w:r>
      <w:proofErr w:type="spellEnd"/>
      <w:r w:rsidR="00305E8A" w:rsidRPr="00305E8A">
        <w:rPr>
          <w:szCs w:val="24"/>
        </w:rPr>
        <w:t xml:space="preserve">, </w:t>
      </w:r>
      <w:proofErr w:type="spellStart"/>
      <w:r w:rsidR="00305E8A" w:rsidRPr="00305E8A">
        <w:rPr>
          <w:szCs w:val="24"/>
        </w:rPr>
        <w:t>verður</w:t>
      </w:r>
      <w:proofErr w:type="spellEnd"/>
      <w:r w:rsidR="00305E8A" w:rsidRPr="00305E8A">
        <w:rPr>
          <w:szCs w:val="24"/>
        </w:rPr>
        <w:t xml:space="preserve"> </w:t>
      </w:r>
      <w:proofErr w:type="spellStart"/>
      <w:r w:rsidR="00305E8A" w:rsidRPr="00305E8A">
        <w:rPr>
          <w:szCs w:val="24"/>
        </w:rPr>
        <w:t>upproknaður</w:t>
      </w:r>
      <w:proofErr w:type="spellEnd"/>
      <w:r w:rsidR="00305E8A" w:rsidRPr="00305E8A">
        <w:rPr>
          <w:szCs w:val="24"/>
        </w:rPr>
        <w:t xml:space="preserve"> </w:t>
      </w:r>
      <w:proofErr w:type="spellStart"/>
      <w:r w:rsidR="00305E8A" w:rsidRPr="00305E8A">
        <w:rPr>
          <w:szCs w:val="24"/>
        </w:rPr>
        <w:t>við</w:t>
      </w:r>
      <w:proofErr w:type="spellEnd"/>
      <w:r w:rsidR="00305E8A" w:rsidRPr="00305E8A">
        <w:rPr>
          <w:szCs w:val="24"/>
        </w:rPr>
        <w:t xml:space="preserve"> </w:t>
      </w:r>
      <w:proofErr w:type="spellStart"/>
      <w:r w:rsidR="00305E8A" w:rsidRPr="00305E8A">
        <w:rPr>
          <w:szCs w:val="24"/>
        </w:rPr>
        <w:t>einum</w:t>
      </w:r>
      <w:proofErr w:type="spellEnd"/>
      <w:r w:rsidR="00305E8A" w:rsidRPr="00305E8A">
        <w:rPr>
          <w:szCs w:val="24"/>
        </w:rPr>
        <w:t xml:space="preserve"> </w:t>
      </w:r>
      <w:proofErr w:type="spellStart"/>
      <w:r w:rsidR="00305E8A" w:rsidRPr="00305E8A">
        <w:rPr>
          <w:szCs w:val="24"/>
        </w:rPr>
        <w:t>býtingartali</w:t>
      </w:r>
      <w:proofErr w:type="spellEnd"/>
      <w:r w:rsidR="00CE579F" w:rsidRPr="00305E8A">
        <w:rPr>
          <w:lang w:val="fo-FO"/>
        </w:rPr>
        <w:t>.</w:t>
      </w:r>
      <w:r w:rsidR="00CE579F" w:rsidRPr="00CE579F">
        <w:rPr>
          <w:lang w:val="fo-FO"/>
        </w:rPr>
        <w:t xml:space="preserve"> </w:t>
      </w:r>
      <w:bookmarkStart w:id="2" w:name="_Hlk169179229"/>
      <w:proofErr w:type="spellStart"/>
      <w:r w:rsidR="00CD0EEF" w:rsidRPr="00305E8A">
        <w:rPr>
          <w:lang w:val="fo-FO"/>
        </w:rPr>
        <w:t>Býtingartalið</w:t>
      </w:r>
      <w:proofErr w:type="spellEnd"/>
      <w:r w:rsidR="00CD0EEF" w:rsidRPr="00305E8A">
        <w:rPr>
          <w:lang w:val="fo-FO"/>
        </w:rPr>
        <w:t xml:space="preserve"> verður </w:t>
      </w:r>
      <w:proofErr w:type="spellStart"/>
      <w:r w:rsidR="00CD0EEF" w:rsidRPr="00305E8A">
        <w:rPr>
          <w:lang w:val="fo-FO"/>
        </w:rPr>
        <w:t>upproknað</w:t>
      </w:r>
      <w:proofErr w:type="spellEnd"/>
      <w:r w:rsidR="00CD0EEF" w:rsidRPr="00305E8A">
        <w:rPr>
          <w:lang w:val="fo-FO"/>
        </w:rPr>
        <w:t xml:space="preserve"> soleiðis: </w:t>
      </w:r>
    </w:p>
    <w:p w14:paraId="642F3AB5" w14:textId="77777777" w:rsidR="00CD0EEF" w:rsidRPr="005218E5" w:rsidRDefault="00CD0EEF" w:rsidP="00CD0EEF">
      <w:pPr>
        <w:pStyle w:val="Listeafsnit"/>
        <w:spacing w:after="0"/>
        <w:ind w:left="360"/>
        <w:rPr>
          <w:szCs w:val="24"/>
          <w:lang w:val="fo-FO"/>
        </w:rPr>
      </w:pPr>
    </w:p>
    <w:p w14:paraId="0BC5CFD8" w14:textId="35ACBED6" w:rsidR="005218E5" w:rsidRPr="005218E5" w:rsidRDefault="005218E5" w:rsidP="00CD0EEF">
      <w:pPr>
        <w:pStyle w:val="Listeafsnit"/>
        <w:spacing w:after="0"/>
        <w:ind w:left="360"/>
        <w:rPr>
          <w:lang w:val="fo-FO"/>
        </w:rPr>
      </w:pPr>
      <w:r>
        <w:rPr>
          <w:lang w:val="fo-FO"/>
        </w:rPr>
        <w:t xml:space="preserve">1) </w:t>
      </w:r>
      <w:r w:rsidRPr="005218E5">
        <w:rPr>
          <w:lang w:val="fo-FO"/>
        </w:rPr>
        <w:t xml:space="preserve">Um útgoldin </w:t>
      </w:r>
      <w:r w:rsidR="00305E8A">
        <w:rPr>
          <w:lang w:val="fo-FO"/>
        </w:rPr>
        <w:t>studningur</w:t>
      </w:r>
      <w:r w:rsidRPr="005218E5">
        <w:rPr>
          <w:lang w:val="fo-FO"/>
        </w:rPr>
        <w:t xml:space="preserve"> + </w:t>
      </w:r>
      <w:proofErr w:type="spellStart"/>
      <w:r w:rsidR="00CD0EEF">
        <w:rPr>
          <w:lang w:val="fo-FO"/>
        </w:rPr>
        <w:t>A</w:t>
      </w:r>
      <w:r w:rsidRPr="005218E5">
        <w:rPr>
          <w:lang w:val="fo-FO"/>
        </w:rPr>
        <w:t>-inntøka</w:t>
      </w:r>
      <w:proofErr w:type="spellEnd"/>
      <w:r w:rsidRPr="005218E5">
        <w:rPr>
          <w:lang w:val="fo-FO"/>
        </w:rPr>
        <w:t xml:space="preserve"> seinastu 12 mánað</w:t>
      </w:r>
      <w:r w:rsidR="00CD0EEF">
        <w:rPr>
          <w:lang w:val="fo-FO"/>
        </w:rPr>
        <w:t>i</w:t>
      </w:r>
      <w:r w:rsidRPr="005218E5">
        <w:rPr>
          <w:lang w:val="fo-FO"/>
        </w:rPr>
        <w:t>rnar áðrenn farloyvi er kr. 30.000 ella minni, telur útgoldna upphæddin við sum áljóðandi</w:t>
      </w:r>
      <w:r w:rsidR="00A57295">
        <w:rPr>
          <w:lang w:val="fo-FO"/>
        </w:rPr>
        <w:t>,</w:t>
      </w:r>
    </w:p>
    <w:p w14:paraId="6822845B" w14:textId="3F21FA46" w:rsidR="005218E5" w:rsidRDefault="005218E5" w:rsidP="00CD0EEF">
      <w:pPr>
        <w:pStyle w:val="Listeafsnit"/>
        <w:spacing w:after="0"/>
        <w:ind w:left="360"/>
        <w:rPr>
          <w:lang w:val="fo-FO"/>
        </w:rPr>
      </w:pPr>
      <w:r>
        <w:rPr>
          <w:lang w:val="fo-FO"/>
        </w:rPr>
        <w:t>2)</w:t>
      </w:r>
      <w:r w:rsidR="00CD0EEF">
        <w:rPr>
          <w:lang w:val="fo-FO"/>
        </w:rPr>
        <w:t xml:space="preserve"> </w:t>
      </w:r>
      <w:r w:rsidR="00CD0EEF" w:rsidRPr="00CD0EEF">
        <w:rPr>
          <w:lang w:val="fo-FO"/>
        </w:rPr>
        <w:t xml:space="preserve">Um útgoldin </w:t>
      </w:r>
      <w:r w:rsidR="00305E8A">
        <w:rPr>
          <w:lang w:val="fo-FO"/>
        </w:rPr>
        <w:t>studningur</w:t>
      </w:r>
      <w:r w:rsidR="00CD0EEF" w:rsidRPr="00CD0EEF">
        <w:rPr>
          <w:lang w:val="fo-FO"/>
        </w:rPr>
        <w:t xml:space="preserve"> + </w:t>
      </w:r>
      <w:proofErr w:type="spellStart"/>
      <w:r w:rsidR="00CD0EEF">
        <w:rPr>
          <w:lang w:val="fo-FO"/>
        </w:rPr>
        <w:t>A</w:t>
      </w:r>
      <w:r w:rsidR="00CD0EEF" w:rsidRPr="00CD0EEF">
        <w:rPr>
          <w:lang w:val="fo-FO"/>
        </w:rPr>
        <w:t>-inntøka</w:t>
      </w:r>
      <w:proofErr w:type="spellEnd"/>
      <w:r w:rsidR="00CD0EEF" w:rsidRPr="00CD0EEF">
        <w:rPr>
          <w:lang w:val="fo-FO"/>
        </w:rPr>
        <w:t xml:space="preserve"> seinastu 12 mánað</w:t>
      </w:r>
      <w:r w:rsidR="00CD0EEF">
        <w:rPr>
          <w:lang w:val="fo-FO"/>
        </w:rPr>
        <w:t>i</w:t>
      </w:r>
      <w:r w:rsidR="00CD0EEF" w:rsidRPr="00CD0EEF">
        <w:rPr>
          <w:lang w:val="fo-FO"/>
        </w:rPr>
        <w:t>rnar áðrenn farloyvi er kr. 65</w:t>
      </w:r>
      <w:r w:rsidR="00305E8A">
        <w:rPr>
          <w:lang w:val="fo-FO"/>
        </w:rPr>
        <w:t>.</w:t>
      </w:r>
      <w:r w:rsidR="00CD0EEF" w:rsidRPr="00CD0EEF">
        <w:rPr>
          <w:lang w:val="fo-FO"/>
        </w:rPr>
        <w:t>000 ella minni</w:t>
      </w:r>
      <w:r w:rsidR="007D139A">
        <w:rPr>
          <w:lang w:val="fo-FO"/>
        </w:rPr>
        <w:t>,</w:t>
      </w:r>
      <w:r w:rsidR="00CD0EEF" w:rsidRPr="00CD0EEF">
        <w:rPr>
          <w:lang w:val="fo-FO"/>
        </w:rPr>
        <w:t xml:space="preserve"> telur útgoldna </w:t>
      </w:r>
      <w:r w:rsidR="00CD0EEF" w:rsidRPr="00CD0EEF">
        <w:rPr>
          <w:lang w:val="fo-FO"/>
        </w:rPr>
        <w:t>upphæddin við sum áljóðandi falda</w:t>
      </w:r>
      <w:r w:rsidR="00305E8A">
        <w:rPr>
          <w:lang w:val="fo-FO"/>
        </w:rPr>
        <w:t>ð</w:t>
      </w:r>
      <w:r w:rsidR="00CD0EEF" w:rsidRPr="00CD0EEF">
        <w:rPr>
          <w:lang w:val="fo-FO"/>
        </w:rPr>
        <w:t xml:space="preserve"> við 1,2</w:t>
      </w:r>
      <w:r w:rsidR="00A57295">
        <w:rPr>
          <w:lang w:val="fo-FO"/>
        </w:rPr>
        <w:t xml:space="preserve"> ella</w:t>
      </w:r>
    </w:p>
    <w:p w14:paraId="0F462A55" w14:textId="158B23CD" w:rsidR="00CD0EEF" w:rsidRDefault="005218E5" w:rsidP="00CD0EEF">
      <w:pPr>
        <w:pStyle w:val="Listeafsnit"/>
        <w:spacing w:after="0"/>
        <w:ind w:left="360"/>
        <w:rPr>
          <w:lang w:val="fo-FO"/>
        </w:rPr>
      </w:pPr>
      <w:r>
        <w:rPr>
          <w:lang w:val="fo-FO"/>
        </w:rPr>
        <w:t>3)</w:t>
      </w:r>
      <w:r w:rsidR="00CD0EEF" w:rsidRPr="00CD0EEF">
        <w:rPr>
          <w:lang w:val="fo-FO"/>
        </w:rPr>
        <w:t xml:space="preserve"> Um útgoldin </w:t>
      </w:r>
      <w:r w:rsidR="00305E8A">
        <w:rPr>
          <w:lang w:val="fo-FO"/>
        </w:rPr>
        <w:t>studningur</w:t>
      </w:r>
      <w:r w:rsidR="00CD0EEF" w:rsidRPr="00CD0EEF">
        <w:rPr>
          <w:lang w:val="fo-FO"/>
        </w:rPr>
        <w:t xml:space="preserve"> + </w:t>
      </w:r>
      <w:proofErr w:type="spellStart"/>
      <w:r w:rsidR="00CD0EEF">
        <w:rPr>
          <w:lang w:val="fo-FO"/>
        </w:rPr>
        <w:t>A</w:t>
      </w:r>
      <w:r w:rsidR="00CD0EEF" w:rsidRPr="00CD0EEF">
        <w:rPr>
          <w:lang w:val="fo-FO"/>
        </w:rPr>
        <w:t>-inntøka</w:t>
      </w:r>
      <w:proofErr w:type="spellEnd"/>
      <w:r w:rsidR="00CD0EEF" w:rsidRPr="00CD0EEF">
        <w:rPr>
          <w:lang w:val="fo-FO"/>
        </w:rPr>
        <w:t xml:space="preserve"> seinastu 12 mánað</w:t>
      </w:r>
      <w:r w:rsidR="00CD0EEF">
        <w:rPr>
          <w:lang w:val="fo-FO"/>
        </w:rPr>
        <w:t>i</w:t>
      </w:r>
      <w:r w:rsidR="00CD0EEF" w:rsidRPr="00CD0EEF">
        <w:rPr>
          <w:lang w:val="fo-FO"/>
        </w:rPr>
        <w:t>rnar áðrenn farloyvi er størri enn kr. 65</w:t>
      </w:r>
      <w:r w:rsidR="00305E8A">
        <w:rPr>
          <w:lang w:val="fo-FO"/>
        </w:rPr>
        <w:t>.</w:t>
      </w:r>
      <w:r w:rsidR="00CD0EEF" w:rsidRPr="00CD0EEF">
        <w:rPr>
          <w:lang w:val="fo-FO"/>
        </w:rPr>
        <w:t>000</w:t>
      </w:r>
      <w:r w:rsidR="007D139A">
        <w:rPr>
          <w:lang w:val="fo-FO"/>
        </w:rPr>
        <w:t>,</w:t>
      </w:r>
      <w:r w:rsidR="00CD0EEF" w:rsidRPr="00CD0EEF">
        <w:rPr>
          <w:lang w:val="fo-FO"/>
        </w:rPr>
        <w:t xml:space="preserve"> telur útgoldna upphæddin við sum áljóðandi falda</w:t>
      </w:r>
      <w:r w:rsidR="00DC57F6">
        <w:rPr>
          <w:lang w:val="fo-FO"/>
        </w:rPr>
        <w:t>ð</w:t>
      </w:r>
      <w:r w:rsidR="00CD0EEF" w:rsidRPr="00CD0EEF">
        <w:rPr>
          <w:lang w:val="fo-FO"/>
        </w:rPr>
        <w:t xml:space="preserve"> við 1,35</w:t>
      </w:r>
      <w:r w:rsidR="00A57295">
        <w:rPr>
          <w:lang w:val="fo-FO"/>
        </w:rPr>
        <w:t>.</w:t>
      </w:r>
    </w:p>
    <w:bookmarkEnd w:id="2"/>
    <w:p w14:paraId="0B7F7B31" w14:textId="051D28F8" w:rsidR="00CE579F" w:rsidRPr="00A55921" w:rsidRDefault="00CE579F" w:rsidP="00A55921">
      <w:pPr>
        <w:pStyle w:val="Listeafsnit"/>
        <w:spacing w:after="0"/>
        <w:ind w:left="360"/>
        <w:rPr>
          <w:lang w:val="fo-FO"/>
        </w:rPr>
      </w:pPr>
      <w:r w:rsidRPr="005218E5">
        <w:rPr>
          <w:lang w:val="fo-FO"/>
        </w:rPr>
        <w:br/>
        <w:t xml:space="preserve">  </w:t>
      </w:r>
      <w:r w:rsidRPr="005218E5">
        <w:rPr>
          <w:i/>
          <w:iCs/>
          <w:lang w:val="fo-FO"/>
        </w:rPr>
        <w:t xml:space="preserve">Stk. 2. </w:t>
      </w:r>
      <w:proofErr w:type="spellStart"/>
      <w:r w:rsidRPr="005218E5">
        <w:rPr>
          <w:lang w:val="fo-FO"/>
        </w:rPr>
        <w:t>Nýútbúgvin</w:t>
      </w:r>
      <w:proofErr w:type="spellEnd"/>
      <w:r w:rsidRPr="005218E5">
        <w:rPr>
          <w:lang w:val="fo-FO"/>
        </w:rPr>
        <w:t>, sum hava verið í starvi í minsta lagi 3 mánaðir</w:t>
      </w:r>
      <w:r w:rsidR="00CD0EEF">
        <w:rPr>
          <w:lang w:val="fo-FO"/>
        </w:rPr>
        <w:t xml:space="preserve"> og</w:t>
      </w:r>
      <w:r w:rsidR="00A55921">
        <w:rPr>
          <w:lang w:val="fo-FO"/>
        </w:rPr>
        <w:t xml:space="preserve"> minni enn 12 mánaðir </w:t>
      </w:r>
      <w:r w:rsidRPr="00A55921">
        <w:rPr>
          <w:lang w:val="fo-FO"/>
        </w:rPr>
        <w:t xml:space="preserve">eftir loknan lestur, kunnu á sama hátt, sum </w:t>
      </w:r>
      <w:proofErr w:type="spellStart"/>
      <w:r w:rsidRPr="00A55921">
        <w:rPr>
          <w:lang w:val="fo-FO"/>
        </w:rPr>
        <w:t>nýsett</w:t>
      </w:r>
      <w:proofErr w:type="spellEnd"/>
      <w:r w:rsidRPr="00A55921">
        <w:rPr>
          <w:lang w:val="fo-FO"/>
        </w:rPr>
        <w:t xml:space="preserve"> eftir § 2 í hesi kunngerð, velja</w:t>
      </w:r>
      <w:r w:rsidR="00CD0EEF" w:rsidRPr="00A55921">
        <w:rPr>
          <w:lang w:val="fo-FO"/>
        </w:rPr>
        <w:t xml:space="preserve"> </w:t>
      </w:r>
      <w:r w:rsidRPr="00A55921">
        <w:rPr>
          <w:lang w:val="fo-FO"/>
        </w:rPr>
        <w:t xml:space="preserve">at útrokningargrundarlagið fyri </w:t>
      </w:r>
      <w:proofErr w:type="spellStart"/>
      <w:r w:rsidRPr="00A55921">
        <w:rPr>
          <w:lang w:val="fo-FO"/>
        </w:rPr>
        <w:t>barsilsgjaldið</w:t>
      </w:r>
      <w:proofErr w:type="spellEnd"/>
      <w:r w:rsidRPr="00A55921">
        <w:rPr>
          <w:lang w:val="fo-FO"/>
        </w:rPr>
        <w:t xml:space="preserve"> skal vera fyri</w:t>
      </w:r>
      <w:r w:rsidR="00062516" w:rsidRPr="00A55921">
        <w:rPr>
          <w:lang w:val="fo-FO"/>
        </w:rPr>
        <w:t xml:space="preserve"> </w:t>
      </w:r>
      <w:proofErr w:type="spellStart"/>
      <w:r w:rsidR="00062516" w:rsidRPr="00A55921">
        <w:rPr>
          <w:lang w:val="fo-FO"/>
        </w:rPr>
        <w:t>starvstíðarskeiðið</w:t>
      </w:r>
      <w:proofErr w:type="spellEnd"/>
      <w:r w:rsidRPr="00A55921">
        <w:rPr>
          <w:color w:val="FF0000"/>
          <w:lang w:val="fo-FO"/>
        </w:rPr>
        <w:t xml:space="preserve"> </w:t>
      </w:r>
      <w:r w:rsidRPr="00A55921">
        <w:rPr>
          <w:lang w:val="fo-FO"/>
        </w:rPr>
        <w:t xml:space="preserve">í staðin fyri 12 teir seinastu mánaðirnir fyri fráveruna, sbrt. § 12, stk. 1, 1. pkt. </w:t>
      </w:r>
    </w:p>
    <w:bookmarkEnd w:id="1"/>
    <w:p w14:paraId="28101196" w14:textId="77777777" w:rsidR="00CE579F" w:rsidRPr="00062516" w:rsidRDefault="00CE579F" w:rsidP="00CE579F">
      <w:pPr>
        <w:pStyle w:val="Listeafsnit"/>
        <w:spacing w:after="0"/>
        <w:ind w:left="360"/>
        <w:rPr>
          <w:szCs w:val="24"/>
          <w:lang w:val="fo-FO"/>
        </w:rPr>
      </w:pPr>
    </w:p>
    <w:p w14:paraId="6E433FD9" w14:textId="77777777" w:rsidR="00EC3371" w:rsidRPr="00062516" w:rsidRDefault="00EC3371" w:rsidP="00EC3371">
      <w:pPr>
        <w:spacing w:after="0"/>
        <w:rPr>
          <w:szCs w:val="24"/>
          <w:lang w:val="fo-FO"/>
        </w:rPr>
      </w:pPr>
    </w:p>
    <w:p w14:paraId="738B6B1F" w14:textId="767ABBF9" w:rsidR="00EC3371" w:rsidRPr="00C63821" w:rsidRDefault="00EC3371" w:rsidP="00C63821">
      <w:pPr>
        <w:jc w:val="center"/>
        <w:rPr>
          <w:b/>
        </w:rPr>
      </w:pPr>
      <w:r w:rsidRPr="004D5A6C">
        <w:rPr>
          <w:b/>
        </w:rPr>
        <w:t>§ 2</w:t>
      </w:r>
    </w:p>
    <w:p w14:paraId="46998763" w14:textId="06E7DC71" w:rsidR="00EC3371" w:rsidRPr="00397B4A" w:rsidRDefault="00EC3371" w:rsidP="00EC3371">
      <w:pPr>
        <w:spacing w:after="0"/>
        <w:rPr>
          <w:szCs w:val="24"/>
        </w:rPr>
      </w:pPr>
      <w:r w:rsidRPr="00397B4A">
        <w:rPr>
          <w:szCs w:val="24"/>
        </w:rPr>
        <w:t xml:space="preserve">Henda </w:t>
      </w:r>
      <w:proofErr w:type="spellStart"/>
      <w:r w:rsidRPr="00397B4A">
        <w:rPr>
          <w:szCs w:val="24"/>
        </w:rPr>
        <w:t>kunngerð</w:t>
      </w:r>
      <w:proofErr w:type="spellEnd"/>
      <w:r w:rsidRPr="00397B4A">
        <w:rPr>
          <w:szCs w:val="24"/>
        </w:rPr>
        <w:t xml:space="preserve"> </w:t>
      </w:r>
      <w:proofErr w:type="spellStart"/>
      <w:r w:rsidRPr="00397B4A">
        <w:rPr>
          <w:szCs w:val="24"/>
        </w:rPr>
        <w:t>kemur</w:t>
      </w:r>
      <w:proofErr w:type="spellEnd"/>
      <w:r w:rsidRPr="00397B4A">
        <w:rPr>
          <w:szCs w:val="24"/>
        </w:rPr>
        <w:t xml:space="preserve"> í </w:t>
      </w:r>
      <w:proofErr w:type="spellStart"/>
      <w:r w:rsidRPr="00397B4A">
        <w:rPr>
          <w:szCs w:val="24"/>
        </w:rPr>
        <w:t>gildi</w:t>
      </w:r>
      <w:proofErr w:type="spellEnd"/>
      <w:r w:rsidRPr="00397B4A">
        <w:rPr>
          <w:szCs w:val="24"/>
        </w:rPr>
        <w:t xml:space="preserve"> </w:t>
      </w:r>
      <w:proofErr w:type="spellStart"/>
      <w:r w:rsidRPr="00397B4A">
        <w:rPr>
          <w:szCs w:val="24"/>
        </w:rPr>
        <w:t>dagin</w:t>
      </w:r>
      <w:proofErr w:type="spellEnd"/>
      <w:r w:rsidRPr="00397B4A">
        <w:rPr>
          <w:szCs w:val="24"/>
        </w:rPr>
        <w:t xml:space="preserve"> </w:t>
      </w:r>
      <w:proofErr w:type="spellStart"/>
      <w:r w:rsidRPr="00397B4A">
        <w:rPr>
          <w:szCs w:val="24"/>
        </w:rPr>
        <w:t>eftir</w:t>
      </w:r>
      <w:proofErr w:type="spellEnd"/>
      <w:r w:rsidRPr="00397B4A">
        <w:rPr>
          <w:szCs w:val="24"/>
        </w:rPr>
        <w:t xml:space="preserve">, at </w:t>
      </w:r>
      <w:proofErr w:type="spellStart"/>
      <w:r w:rsidRPr="00397B4A">
        <w:rPr>
          <w:szCs w:val="24"/>
        </w:rPr>
        <w:t>hon</w:t>
      </w:r>
      <w:proofErr w:type="spellEnd"/>
      <w:r w:rsidRPr="00397B4A">
        <w:rPr>
          <w:szCs w:val="24"/>
        </w:rPr>
        <w:t xml:space="preserve"> er </w:t>
      </w:r>
      <w:proofErr w:type="spellStart"/>
      <w:r w:rsidRPr="00397B4A">
        <w:rPr>
          <w:szCs w:val="24"/>
        </w:rPr>
        <w:t>kunngjørd</w:t>
      </w:r>
      <w:proofErr w:type="spellEnd"/>
      <w:r w:rsidRPr="00397B4A">
        <w:rPr>
          <w:szCs w:val="24"/>
        </w:rPr>
        <w:t>.</w:t>
      </w:r>
    </w:p>
    <w:p w14:paraId="0AEBB603" w14:textId="77777777" w:rsidR="00EC3371" w:rsidRPr="00397B4A" w:rsidRDefault="00EC3371" w:rsidP="00EC3371">
      <w:pPr>
        <w:spacing w:after="0"/>
        <w:rPr>
          <w:szCs w:val="24"/>
        </w:rPr>
      </w:pPr>
    </w:p>
    <w:p w14:paraId="0FB24ACA" w14:textId="77777777" w:rsidR="00EC3371" w:rsidRPr="00397B4A" w:rsidRDefault="00EC3371" w:rsidP="00EC3371">
      <w:pPr>
        <w:spacing w:after="0"/>
        <w:jc w:val="both"/>
        <w:rPr>
          <w:szCs w:val="24"/>
        </w:rPr>
        <w:sectPr w:rsidR="00EC3371" w:rsidRPr="00397B4A" w:rsidSect="00DD12A6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45EBD59D" w14:textId="77777777" w:rsidR="00EC3371" w:rsidRPr="00397B4A" w:rsidRDefault="00EC3371" w:rsidP="002576D1">
      <w:pPr>
        <w:spacing w:after="0"/>
        <w:jc w:val="center"/>
        <w:rPr>
          <w:szCs w:val="24"/>
        </w:rPr>
      </w:pPr>
    </w:p>
    <w:p w14:paraId="036EC4A7" w14:textId="77777777" w:rsidR="00EC3371" w:rsidRPr="00397B4A" w:rsidRDefault="00EC3371" w:rsidP="002576D1">
      <w:pPr>
        <w:spacing w:after="0"/>
        <w:jc w:val="center"/>
        <w:rPr>
          <w:szCs w:val="24"/>
        </w:rPr>
      </w:pPr>
    </w:p>
    <w:p w14:paraId="4B7ADB43" w14:textId="267DDD0F" w:rsidR="00EC3371" w:rsidRPr="00397B4A" w:rsidRDefault="005365EC" w:rsidP="00EC3371">
      <w:pPr>
        <w:spacing w:after="0"/>
        <w:jc w:val="center"/>
        <w:rPr>
          <w:szCs w:val="24"/>
        </w:rPr>
      </w:pPr>
      <w:proofErr w:type="spellStart"/>
      <w:r>
        <w:rPr>
          <w:szCs w:val="24"/>
        </w:rPr>
        <w:t>Umhvørvismálaráðið</w:t>
      </w:r>
      <w:proofErr w:type="spellEnd"/>
      <w:r w:rsidR="00EC3371" w:rsidRPr="00397B4A">
        <w:rPr>
          <w:szCs w:val="24"/>
        </w:rPr>
        <w:t xml:space="preserve">, </w:t>
      </w:r>
      <w:proofErr w:type="spellStart"/>
      <w:r w:rsidR="00EC3371" w:rsidRPr="007C75EC">
        <w:rPr>
          <w:color w:val="000000" w:themeColor="text1"/>
          <w:szCs w:val="24"/>
        </w:rPr>
        <w:t>dagfesting</w:t>
      </w:r>
      <w:proofErr w:type="spellEnd"/>
    </w:p>
    <w:p w14:paraId="433A73B4" w14:textId="77777777" w:rsidR="00EC3371" w:rsidRPr="00397B4A" w:rsidRDefault="00EC3371" w:rsidP="00EC3371">
      <w:pPr>
        <w:spacing w:after="0"/>
        <w:jc w:val="center"/>
        <w:rPr>
          <w:szCs w:val="24"/>
        </w:rPr>
      </w:pPr>
    </w:p>
    <w:p w14:paraId="34759C7B" w14:textId="77777777" w:rsidR="00EC3371" w:rsidRPr="00397B4A" w:rsidRDefault="00EC3371" w:rsidP="00EC3371">
      <w:pPr>
        <w:spacing w:after="0"/>
        <w:jc w:val="center"/>
        <w:rPr>
          <w:szCs w:val="24"/>
        </w:rPr>
      </w:pPr>
    </w:p>
    <w:p w14:paraId="1F00D73A" w14:textId="14DE29E5" w:rsidR="00EC3371" w:rsidRPr="00397B4A" w:rsidRDefault="001F596C" w:rsidP="00EC3371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Ingilín D. Strøm</w:t>
      </w:r>
    </w:p>
    <w:p w14:paraId="0289BCD7" w14:textId="135D6184" w:rsidR="00EC3371" w:rsidRPr="00397B4A" w:rsidRDefault="00EC3371" w:rsidP="005218E5">
      <w:pPr>
        <w:spacing w:after="0"/>
        <w:jc w:val="center"/>
        <w:rPr>
          <w:szCs w:val="24"/>
        </w:rPr>
      </w:pPr>
      <w:proofErr w:type="spellStart"/>
      <w:r w:rsidRPr="00397B4A">
        <w:rPr>
          <w:szCs w:val="24"/>
        </w:rPr>
        <w:t>landsstýri</w:t>
      </w:r>
      <w:r w:rsidR="001F596C">
        <w:rPr>
          <w:szCs w:val="24"/>
        </w:rPr>
        <w:t>skvinna</w:t>
      </w:r>
      <w:proofErr w:type="spellEnd"/>
    </w:p>
    <w:p w14:paraId="49FE9A54" w14:textId="140E866C" w:rsidR="004D5A6C" w:rsidRPr="008D2CD5" w:rsidRDefault="00EC3371" w:rsidP="008D2CD5">
      <w:pPr>
        <w:spacing w:after="0"/>
        <w:jc w:val="right"/>
        <w:rPr>
          <w:szCs w:val="24"/>
        </w:rPr>
      </w:pPr>
      <w:r w:rsidRPr="00397B4A">
        <w:rPr>
          <w:szCs w:val="24"/>
        </w:rPr>
        <w:t xml:space="preserve">/ </w:t>
      </w:r>
    </w:p>
    <w:sectPr w:rsidR="004D5A6C" w:rsidRPr="008D2CD5" w:rsidSect="00DD12A6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52A00" w14:textId="77777777" w:rsidR="00942B5F" w:rsidRDefault="00942B5F">
      <w:pPr>
        <w:spacing w:after="0"/>
      </w:pPr>
      <w:r>
        <w:separator/>
      </w:r>
    </w:p>
  </w:endnote>
  <w:endnote w:type="continuationSeparator" w:id="0">
    <w:p w14:paraId="3CC3C86E" w14:textId="77777777" w:rsidR="00942B5F" w:rsidRDefault="00942B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FF78B" w14:textId="77777777" w:rsidR="00942B5F" w:rsidRDefault="00942B5F">
      <w:pPr>
        <w:spacing w:after="0"/>
      </w:pPr>
      <w:r>
        <w:separator/>
      </w:r>
    </w:p>
  </w:footnote>
  <w:footnote w:type="continuationSeparator" w:id="0">
    <w:p w14:paraId="219EA2EA" w14:textId="77777777" w:rsidR="00942B5F" w:rsidRDefault="00942B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4D9AE" w14:textId="77777777" w:rsidR="009E1461" w:rsidRPr="00DA32B2" w:rsidRDefault="009E1461">
    <w:pPr>
      <w:pStyle w:val="Sidehoved"/>
      <w:rPr>
        <w:szCs w:val="24"/>
      </w:rPr>
    </w:pPr>
  </w:p>
  <w:p w14:paraId="403FBB75" w14:textId="77777777" w:rsidR="009E1461" w:rsidRPr="00DA32B2" w:rsidRDefault="009E1461">
    <w:pPr>
      <w:pStyle w:val="Sidehoved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61BB3" w14:textId="77777777" w:rsidR="009E1461" w:rsidRPr="00DA32B2" w:rsidRDefault="009E1461" w:rsidP="00035C9D">
    <w:pPr>
      <w:pStyle w:val="Sidehoved"/>
      <w:tabs>
        <w:tab w:val="left" w:pos="3690"/>
      </w:tabs>
      <w:spacing w:before="240"/>
      <w:rPr>
        <w:b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EDD6" w14:textId="77777777" w:rsidR="009E1461" w:rsidRDefault="009E1461">
    <w:pPr>
      <w:pStyle w:val="Sidehoved"/>
    </w:pPr>
  </w:p>
  <w:p w14:paraId="79932745" w14:textId="77777777" w:rsidR="009E1461" w:rsidRDefault="009E14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3167D9"/>
    <w:multiLevelType w:val="hybridMultilevel"/>
    <w:tmpl w:val="0414D34E"/>
    <w:lvl w:ilvl="0" w:tplc="75EA08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380019" w:tentative="1">
      <w:start w:val="1"/>
      <w:numFmt w:val="lowerLetter"/>
      <w:lvlText w:val="%2."/>
      <w:lvlJc w:val="left"/>
      <w:pPr>
        <w:ind w:left="1080" w:hanging="360"/>
      </w:pPr>
    </w:lvl>
    <w:lvl w:ilvl="2" w:tplc="0438001B" w:tentative="1">
      <w:start w:val="1"/>
      <w:numFmt w:val="lowerRoman"/>
      <w:lvlText w:val="%3."/>
      <w:lvlJc w:val="right"/>
      <w:pPr>
        <w:ind w:left="1800" w:hanging="180"/>
      </w:pPr>
    </w:lvl>
    <w:lvl w:ilvl="3" w:tplc="0438000F" w:tentative="1">
      <w:start w:val="1"/>
      <w:numFmt w:val="decimal"/>
      <w:lvlText w:val="%4."/>
      <w:lvlJc w:val="left"/>
      <w:pPr>
        <w:ind w:left="2520" w:hanging="360"/>
      </w:pPr>
    </w:lvl>
    <w:lvl w:ilvl="4" w:tplc="04380019" w:tentative="1">
      <w:start w:val="1"/>
      <w:numFmt w:val="lowerLetter"/>
      <w:lvlText w:val="%5."/>
      <w:lvlJc w:val="left"/>
      <w:pPr>
        <w:ind w:left="3240" w:hanging="360"/>
      </w:pPr>
    </w:lvl>
    <w:lvl w:ilvl="5" w:tplc="0438001B" w:tentative="1">
      <w:start w:val="1"/>
      <w:numFmt w:val="lowerRoman"/>
      <w:lvlText w:val="%6."/>
      <w:lvlJc w:val="right"/>
      <w:pPr>
        <w:ind w:left="3960" w:hanging="180"/>
      </w:pPr>
    </w:lvl>
    <w:lvl w:ilvl="6" w:tplc="0438000F" w:tentative="1">
      <w:start w:val="1"/>
      <w:numFmt w:val="decimal"/>
      <w:lvlText w:val="%7."/>
      <w:lvlJc w:val="left"/>
      <w:pPr>
        <w:ind w:left="4680" w:hanging="360"/>
      </w:pPr>
    </w:lvl>
    <w:lvl w:ilvl="7" w:tplc="04380019" w:tentative="1">
      <w:start w:val="1"/>
      <w:numFmt w:val="lowerLetter"/>
      <w:lvlText w:val="%8."/>
      <w:lvlJc w:val="left"/>
      <w:pPr>
        <w:ind w:left="5400" w:hanging="360"/>
      </w:pPr>
    </w:lvl>
    <w:lvl w:ilvl="8" w:tplc="043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85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1E"/>
    <w:rsid w:val="00062516"/>
    <w:rsid w:val="00081C11"/>
    <w:rsid w:val="000C76D7"/>
    <w:rsid w:val="000C771A"/>
    <w:rsid w:val="001539FB"/>
    <w:rsid w:val="001F596C"/>
    <w:rsid w:val="002014A1"/>
    <w:rsid w:val="002070C4"/>
    <w:rsid w:val="002173D7"/>
    <w:rsid w:val="002576D1"/>
    <w:rsid w:val="00305E8A"/>
    <w:rsid w:val="00341319"/>
    <w:rsid w:val="0034308D"/>
    <w:rsid w:val="00363F9A"/>
    <w:rsid w:val="003844AE"/>
    <w:rsid w:val="004D3CFD"/>
    <w:rsid w:val="004D5A6C"/>
    <w:rsid w:val="005218E5"/>
    <w:rsid w:val="005365EC"/>
    <w:rsid w:val="00555CCE"/>
    <w:rsid w:val="00636546"/>
    <w:rsid w:val="00666543"/>
    <w:rsid w:val="00670EE8"/>
    <w:rsid w:val="007407EA"/>
    <w:rsid w:val="0078147F"/>
    <w:rsid w:val="00793F38"/>
    <w:rsid w:val="007C75EC"/>
    <w:rsid w:val="007D139A"/>
    <w:rsid w:val="0088651F"/>
    <w:rsid w:val="008D2CD5"/>
    <w:rsid w:val="00910DF7"/>
    <w:rsid w:val="0093512F"/>
    <w:rsid w:val="00942B5F"/>
    <w:rsid w:val="009B3C34"/>
    <w:rsid w:val="009D5BF0"/>
    <w:rsid w:val="009E1461"/>
    <w:rsid w:val="009F1A54"/>
    <w:rsid w:val="009F758A"/>
    <w:rsid w:val="00A153F1"/>
    <w:rsid w:val="00A2491E"/>
    <w:rsid w:val="00A477E0"/>
    <w:rsid w:val="00A55921"/>
    <w:rsid w:val="00A57295"/>
    <w:rsid w:val="00A672EB"/>
    <w:rsid w:val="00AF0CE1"/>
    <w:rsid w:val="00AF589B"/>
    <w:rsid w:val="00B126D7"/>
    <w:rsid w:val="00B3535B"/>
    <w:rsid w:val="00B76A82"/>
    <w:rsid w:val="00BF1059"/>
    <w:rsid w:val="00C03166"/>
    <w:rsid w:val="00C069F8"/>
    <w:rsid w:val="00C63821"/>
    <w:rsid w:val="00CC3BF6"/>
    <w:rsid w:val="00CC6A58"/>
    <w:rsid w:val="00CD0B17"/>
    <w:rsid w:val="00CD0EEF"/>
    <w:rsid w:val="00CE579F"/>
    <w:rsid w:val="00DA34D3"/>
    <w:rsid w:val="00DC57F6"/>
    <w:rsid w:val="00DC6316"/>
    <w:rsid w:val="00E20B01"/>
    <w:rsid w:val="00E40944"/>
    <w:rsid w:val="00EC3371"/>
    <w:rsid w:val="00F12D73"/>
    <w:rsid w:val="00F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78D7C"/>
  <w15:chartTrackingRefBased/>
  <w15:docId w15:val="{35AF1C82-C92B-42AC-8EF2-AE5E3FBD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371"/>
    <w:pPr>
      <w:spacing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opnrdato">
    <w:name w:val="topnrdato"/>
    <w:basedOn w:val="Normal"/>
    <w:next w:val="Normal"/>
    <w:rsid w:val="00666543"/>
    <w:pPr>
      <w:tabs>
        <w:tab w:val="right" w:pos="9638"/>
      </w:tabs>
      <w:spacing w:after="0"/>
    </w:pPr>
    <w:rPr>
      <w:rFonts w:eastAsia="Times New Roman"/>
      <w:szCs w:val="24"/>
    </w:rPr>
  </w:style>
  <w:style w:type="paragraph" w:customStyle="1" w:styleId="Stk">
    <w:name w:val="Stk"/>
    <w:basedOn w:val="Normal"/>
    <w:rsid w:val="00AF589B"/>
    <w:pPr>
      <w:spacing w:after="0"/>
      <w:ind w:firstLine="170"/>
    </w:pPr>
    <w:rPr>
      <w:rFonts w:eastAsia="Times New Roman"/>
      <w:szCs w:val="24"/>
    </w:rPr>
  </w:style>
  <w:style w:type="paragraph" w:customStyle="1" w:styleId="Paragraftekst">
    <w:name w:val="Paragraftekst"/>
    <w:basedOn w:val="Normal"/>
    <w:next w:val="Normal"/>
    <w:rsid w:val="00AF589B"/>
    <w:pPr>
      <w:spacing w:before="240" w:after="0"/>
      <w:ind w:firstLine="170"/>
    </w:pPr>
    <w:rPr>
      <w:rFonts w:eastAsia="Times New Roman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C337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EC3371"/>
    <w:rPr>
      <w:lang w:val="fo-FO"/>
    </w:rPr>
  </w:style>
  <w:style w:type="table" w:styleId="Tabel-Gitter">
    <w:name w:val="Table Grid"/>
    <w:basedOn w:val="Tabel-Normal"/>
    <w:uiPriority w:val="59"/>
    <w:rsid w:val="00EC3371"/>
    <w:pPr>
      <w:spacing w:after="0" w:line="240" w:lineRule="auto"/>
    </w:pPr>
    <w:rPr>
      <w:rFonts w:asciiTheme="minorHAnsi" w:hAnsiTheme="minorHAnsi"/>
      <w:sz w:val="22"/>
      <w:lang w:val="fo-F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EC3371"/>
    <w:pPr>
      <w:ind w:left="720"/>
      <w:contextualSpacing/>
    </w:pPr>
  </w:style>
  <w:style w:type="character" w:customStyle="1" w:styleId="TypografiFed">
    <w:name w:val="Typografi Fed"/>
    <w:basedOn w:val="Standardskrifttypeiafsnit"/>
    <w:rsid w:val="00EC3371"/>
    <w:rPr>
      <w:rFonts w:ascii="Times New Roman" w:hAnsi="Times New Roman"/>
      <w:b/>
      <w:bCs/>
      <w:sz w:val="24"/>
    </w:rPr>
  </w:style>
  <w:style w:type="character" w:customStyle="1" w:styleId="TypografiKursiv">
    <w:name w:val="Typografi Kursiv"/>
    <w:basedOn w:val="Standardskrifttypeiafsnit"/>
    <w:rsid w:val="00EC3371"/>
    <w:rPr>
      <w:rFonts w:ascii="Times New Roman" w:hAnsi="Times New Roman"/>
      <w:i/>
      <w:iCs/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5B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D5BF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D5BF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5BF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5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3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68618\Downloads\uppskot-til-broytingarkunnger&#240;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uppskot-til-broytingarkunngerð</Template>
  <TotalTime>4</TotalTime>
  <Pages>2</Pages>
  <Words>243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Uppskot til broytingarkunngerð</vt:lpstr>
    </vt:vector>
  </TitlesOfParts>
  <Company>Lógartænastan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Uppskot til broytingarkunngerð</dc:title>
  <dc:subject>Uppskot til broytingarkunngerð</dc:subject>
  <dc:creator>Tanja Skaalum</dc:creator>
  <cp:keywords>5. útgáva, desember 2020</cp:keywords>
  <dc:description>Uppskot til broytingarkunngerð - 5. útgáva, desember 2020</dc:description>
  <cp:lastModifiedBy>Tanja Skaalum</cp:lastModifiedBy>
  <cp:revision>4</cp:revision>
  <dcterms:created xsi:type="dcterms:W3CDTF">2024-06-17T12:58:00Z</dcterms:created>
  <dcterms:modified xsi:type="dcterms:W3CDTF">2024-06-20T08:30:00Z</dcterms:modified>
</cp:coreProperties>
</file>