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9FB6" w14:textId="2AA77431" w:rsidR="00CD4DA6" w:rsidRPr="003E33C5" w:rsidRDefault="00CD4DA6" w:rsidP="00F84827">
      <w:pPr>
        <w:pStyle w:val="titel2"/>
        <w:shd w:val="clear" w:color="auto" w:fill="FFFFFF" w:themeFill="background1"/>
        <w:spacing w:before="200" w:beforeAutospacing="0" w:after="200" w:afterAutospacing="0" w:line="300" w:lineRule="auto"/>
        <w:jc w:val="center"/>
        <w:rPr>
          <w:rFonts w:ascii="Questa-Regular" w:hAnsi="Questa-Regular"/>
          <w:color w:val="212529"/>
          <w:sz w:val="37"/>
          <w:szCs w:val="37"/>
        </w:rPr>
      </w:pPr>
      <w:r w:rsidRPr="003E33C5">
        <w:rPr>
          <w:rFonts w:ascii="Questa-Regular" w:hAnsi="Questa-Regular"/>
          <w:color w:val="212529"/>
          <w:sz w:val="37"/>
          <w:szCs w:val="37"/>
        </w:rPr>
        <w:t xml:space="preserve">Bekendtgørelse </w:t>
      </w:r>
      <w:r w:rsidR="00B71720" w:rsidRPr="003E33C5">
        <w:rPr>
          <w:rFonts w:ascii="Questa-Regular" w:hAnsi="Questa-Regular"/>
          <w:color w:val="212529"/>
          <w:sz w:val="37"/>
          <w:szCs w:val="37"/>
        </w:rPr>
        <w:t xml:space="preserve">for Færøerne </w:t>
      </w:r>
      <w:r w:rsidRPr="003E33C5">
        <w:rPr>
          <w:rFonts w:ascii="Questa-Regular" w:hAnsi="Questa-Regular"/>
          <w:color w:val="212529"/>
          <w:sz w:val="37"/>
          <w:szCs w:val="37"/>
        </w:rPr>
        <w:t xml:space="preserve">om behandlingen af sager om modregning af erstatningsbeløb over for indsatte i </w:t>
      </w:r>
      <w:r w:rsidR="00A953AB" w:rsidRPr="003E33C5">
        <w:rPr>
          <w:rFonts w:ascii="Questa-Regular" w:hAnsi="Questa-Regular"/>
          <w:color w:val="212529"/>
          <w:sz w:val="37"/>
          <w:szCs w:val="37"/>
        </w:rPr>
        <w:t>Færøerne Arrest</w:t>
      </w:r>
      <w:r w:rsidRPr="003E33C5">
        <w:rPr>
          <w:rFonts w:ascii="Questa-Regular" w:hAnsi="Questa-Regular"/>
          <w:color w:val="212529"/>
          <w:sz w:val="37"/>
          <w:szCs w:val="37"/>
        </w:rPr>
        <w:t xml:space="preserve"> (modregningsbekendtgørelsen)</w:t>
      </w:r>
    </w:p>
    <w:p w14:paraId="3965DEB0" w14:textId="2C4AD91C" w:rsidR="00CD4DA6" w:rsidRPr="003E33C5" w:rsidRDefault="00CD4DA6" w:rsidP="00F84827">
      <w:pPr>
        <w:pStyle w:val="indledning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3E33C5">
        <w:rPr>
          <w:rFonts w:ascii="Questa-Regular" w:hAnsi="Questa-Regular"/>
          <w:color w:val="212529"/>
        </w:rPr>
        <w:t xml:space="preserve">I medfør af § 74, stk. 2, § 105, stk. 2, og § 111, stk. 3, </w:t>
      </w:r>
      <w:r w:rsidR="0042747B" w:rsidRPr="003E33C5">
        <w:rPr>
          <w:rFonts w:ascii="Questa-Regular" w:hAnsi="Questa-Regular"/>
          <w:color w:val="212529"/>
        </w:rPr>
        <w:t xml:space="preserve">i lov </w:t>
      </w:r>
      <w:proofErr w:type="gramStart"/>
      <w:r w:rsidR="0042747B" w:rsidRPr="003E33C5">
        <w:rPr>
          <w:rFonts w:ascii="Questa-Regular" w:hAnsi="Questa-Regular"/>
          <w:color w:val="212529"/>
        </w:rPr>
        <w:t>nr...</w:t>
      </w:r>
      <w:proofErr w:type="gramEnd"/>
      <w:r w:rsidR="0042747B" w:rsidRPr="003E33C5">
        <w:rPr>
          <w:rFonts w:ascii="Questa-Regular" w:hAnsi="Questa-Regular"/>
          <w:color w:val="212529"/>
        </w:rPr>
        <w:t xml:space="preserve"> af.., for Færøerne om fuldbyrdels</w:t>
      </w:r>
      <w:r w:rsidR="009E3C87" w:rsidRPr="003E33C5">
        <w:rPr>
          <w:rFonts w:ascii="Questa-Regular" w:hAnsi="Questa-Regular"/>
          <w:color w:val="212529"/>
        </w:rPr>
        <w:t>e af straf m.v., og § 809, 1.</w:t>
      </w:r>
      <w:r w:rsidR="0042747B" w:rsidRPr="003E33C5">
        <w:rPr>
          <w:rFonts w:ascii="Questa-Regular" w:hAnsi="Questa-Regular"/>
          <w:color w:val="212529"/>
        </w:rPr>
        <w:t xml:space="preserve"> pkt., i </w:t>
      </w:r>
      <w:r w:rsidR="00A953AB" w:rsidRPr="003E33C5">
        <w:rPr>
          <w:rFonts w:ascii="Questa-Regular" w:hAnsi="Questa-Regular"/>
          <w:color w:val="212529"/>
        </w:rPr>
        <w:t>r</w:t>
      </w:r>
      <w:r w:rsidR="0042747B" w:rsidRPr="003E33C5">
        <w:rPr>
          <w:rFonts w:ascii="Questa-Regular" w:hAnsi="Questa-Regular"/>
          <w:color w:val="212529"/>
        </w:rPr>
        <w:t xml:space="preserve">etsplejelov for Færøerne, </w:t>
      </w:r>
      <w:r w:rsidR="003B6AF7" w:rsidRPr="003E33C5">
        <w:rPr>
          <w:rFonts w:ascii="Questa-Regular" w:hAnsi="Questa-Regular"/>
          <w:color w:val="212529"/>
        </w:rPr>
        <w:t xml:space="preserve">jf. </w:t>
      </w:r>
      <w:r w:rsidR="0042747B" w:rsidRPr="003E33C5">
        <w:rPr>
          <w:rFonts w:ascii="Questa-Regular" w:hAnsi="Questa-Regular"/>
          <w:color w:val="212529"/>
        </w:rPr>
        <w:t>lov nr. 964  af 26. juni 2020, som ændret ved</w:t>
      </w:r>
      <w:r w:rsidR="00F84827">
        <w:rPr>
          <w:rFonts w:ascii="Questa-Regular" w:hAnsi="Questa-Regular"/>
          <w:color w:val="212529"/>
        </w:rPr>
        <w:t xml:space="preserve"> lov nr… af…</w:t>
      </w:r>
      <w:r w:rsidR="0042747B" w:rsidRPr="003E33C5">
        <w:rPr>
          <w:rFonts w:ascii="Questa-Regular" w:hAnsi="Questa-Regular"/>
          <w:color w:val="212529"/>
        </w:rPr>
        <w:t>,</w:t>
      </w:r>
      <w:r w:rsidRPr="003E33C5">
        <w:rPr>
          <w:rFonts w:ascii="Questa-Regular" w:hAnsi="Questa-Regular"/>
          <w:color w:val="212529"/>
        </w:rPr>
        <w:t xml:space="preserve"> fastsættes:</w:t>
      </w:r>
    </w:p>
    <w:p w14:paraId="141CCA0D" w14:textId="77777777" w:rsidR="00CD4DA6" w:rsidRPr="003E33C5" w:rsidRDefault="00CD4DA6" w:rsidP="00F84827">
      <w:pPr>
        <w:pStyle w:val="paragrafgruppeoverskrift"/>
        <w:shd w:val="clear" w:color="auto" w:fill="FFFFFF" w:themeFill="background1"/>
        <w:spacing w:before="300" w:beforeAutospacing="0" w:afterAutospacing="0" w:line="300" w:lineRule="auto"/>
        <w:jc w:val="center"/>
        <w:rPr>
          <w:rFonts w:ascii="Questa-Regular" w:hAnsi="Questa-Regular"/>
          <w:i/>
          <w:iCs/>
          <w:color w:val="212529"/>
        </w:rPr>
      </w:pPr>
      <w:r w:rsidRPr="003E33C5">
        <w:rPr>
          <w:rFonts w:ascii="Questa-Regular" w:hAnsi="Questa-Regular"/>
          <w:i/>
          <w:iCs/>
          <w:color w:val="212529"/>
        </w:rPr>
        <w:t>Modregning af erstatningsbeløb</w:t>
      </w:r>
    </w:p>
    <w:p w14:paraId="2F800C78" w14:textId="7EA2248E" w:rsidR="00CD4DA6" w:rsidRPr="003E33C5" w:rsidRDefault="00CD4DA6" w:rsidP="00F8482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3E33C5">
        <w:rPr>
          <w:rStyle w:val="paragrafnr"/>
          <w:rFonts w:ascii="Questa-Regular" w:hAnsi="Questa-Regular"/>
          <w:b/>
          <w:bCs/>
          <w:color w:val="212529"/>
        </w:rPr>
        <w:t>§ 1.</w:t>
      </w:r>
      <w:r w:rsidRPr="003E33C5">
        <w:rPr>
          <w:rFonts w:ascii="Questa-Regular" w:hAnsi="Questa-Regular"/>
          <w:color w:val="212529"/>
        </w:rPr>
        <w:t xml:space="preserve"> Kriminalforsorgens krav på erstatning for skade på ting, som en indsat i </w:t>
      </w:r>
      <w:r w:rsidR="00165D41">
        <w:rPr>
          <w:rFonts w:ascii="Questa-Regular" w:hAnsi="Questa-Regular"/>
          <w:color w:val="212529"/>
        </w:rPr>
        <w:t xml:space="preserve">arresthuset </w:t>
      </w:r>
      <w:r w:rsidRPr="003E33C5">
        <w:rPr>
          <w:rFonts w:ascii="Questa-Regular" w:hAnsi="Questa-Regular"/>
          <w:color w:val="212529"/>
        </w:rPr>
        <w:t>forvolder under fuldbyrdelse af straf m.v. ved en ansvarspådragende adfærd, kan kun benyttes til modregning over for den indsattes vederlag for beskæftigelse efter straffuldbyrdelseslovens § 74, stk. 1, hvis erstatningskravet er utvivlsomt.</w:t>
      </w:r>
    </w:p>
    <w:p w14:paraId="5E6B36D3" w14:textId="5F1A9E2A" w:rsidR="00CD4DA6" w:rsidRPr="003E33C5" w:rsidRDefault="00CD4DA6" w:rsidP="00F8482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3E33C5">
        <w:rPr>
          <w:rStyle w:val="paragrafnr"/>
          <w:rFonts w:ascii="Questa-Regular" w:hAnsi="Questa-Regular"/>
          <w:b/>
          <w:bCs/>
          <w:color w:val="212529"/>
        </w:rPr>
        <w:t>§ 2. </w:t>
      </w:r>
      <w:r w:rsidRPr="003E33C5">
        <w:rPr>
          <w:rFonts w:ascii="Questa-Regular" w:hAnsi="Questa-Regular"/>
          <w:color w:val="212529"/>
        </w:rPr>
        <w:t xml:space="preserve">Straffuldbyrdelseslovens § 74, stk. 1, om modregning af erstatningsbeløb og reglerne i denne bekendtgørelse finder tilsvarende anvendelse for modregning af kriminalforsorgens krav på erstatning for skade på ting, som forvoldes af varetægtsarrestanter under opholdet </w:t>
      </w:r>
      <w:r w:rsidR="0084387A" w:rsidRPr="003E33C5">
        <w:rPr>
          <w:rFonts w:ascii="Questa-Regular" w:hAnsi="Questa-Regular"/>
          <w:color w:val="212529"/>
        </w:rPr>
        <w:t xml:space="preserve">i </w:t>
      </w:r>
      <w:r w:rsidR="00165D41">
        <w:rPr>
          <w:rFonts w:ascii="Questa-Regular" w:hAnsi="Questa-Regular"/>
          <w:color w:val="212529"/>
        </w:rPr>
        <w:t>arresthuset</w:t>
      </w:r>
      <w:r w:rsidRPr="003E33C5">
        <w:rPr>
          <w:rFonts w:ascii="Questa-Regular" w:hAnsi="Questa-Regular"/>
          <w:color w:val="212529"/>
        </w:rPr>
        <w:t>, jf. dog stk. 2</w:t>
      </w:r>
      <w:r w:rsidR="00853F0D">
        <w:rPr>
          <w:rFonts w:ascii="Questa-Regular" w:hAnsi="Questa-Regular"/>
          <w:color w:val="212529"/>
        </w:rPr>
        <w:t xml:space="preserve"> og </w:t>
      </w:r>
      <w:r w:rsidRPr="003E33C5">
        <w:rPr>
          <w:rFonts w:ascii="Questa-Regular" w:hAnsi="Questa-Regular"/>
          <w:color w:val="212529"/>
        </w:rPr>
        <w:t>3.</w:t>
      </w:r>
    </w:p>
    <w:p w14:paraId="522337AF" w14:textId="77777777" w:rsidR="00CD4DA6" w:rsidRPr="003E33C5" w:rsidRDefault="00CD4DA6" w:rsidP="00F84827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3E33C5">
        <w:rPr>
          <w:rStyle w:val="stknr"/>
          <w:rFonts w:ascii="Questa-Regular" w:hAnsi="Questa-Regular"/>
          <w:i/>
          <w:iCs/>
          <w:color w:val="212529"/>
        </w:rPr>
        <w:t>Stk. 2.</w:t>
      </w:r>
      <w:r w:rsidRPr="003E33C5">
        <w:rPr>
          <w:rFonts w:ascii="Questa-Regular" w:hAnsi="Questa-Regular"/>
          <w:color w:val="212529"/>
        </w:rPr>
        <w:t> Det er en yderligere betingelse for modregning over for en varetægtsarrestant, at denne har givet samtykke til, at erstatningsbeløbet modregnes over for vederlaget for beskæftigelse.</w:t>
      </w:r>
    </w:p>
    <w:p w14:paraId="2C1C1828" w14:textId="77777777" w:rsidR="00CD4DA6" w:rsidRPr="003E33C5" w:rsidRDefault="00CD4DA6" w:rsidP="00F84827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3E33C5">
        <w:rPr>
          <w:rStyle w:val="stknr"/>
          <w:rFonts w:ascii="Questa-Regular" w:hAnsi="Questa-Regular"/>
          <w:i/>
          <w:iCs/>
          <w:color w:val="212529"/>
        </w:rPr>
        <w:t>Stk. 3.</w:t>
      </w:r>
      <w:r w:rsidRPr="003E33C5">
        <w:rPr>
          <w:rFonts w:ascii="Questa-Regular" w:hAnsi="Questa-Regular"/>
          <w:color w:val="212529"/>
        </w:rPr>
        <w:t> Inden en varetægtsarrestant giver samtykke til modregning, skal denne vejledes om, at modregningen ikke kan foretages, hvis erstatningsspørgsmålet forlanges behandlet af domstolene.</w:t>
      </w:r>
    </w:p>
    <w:p w14:paraId="4CD7795E" w14:textId="13AE68E3" w:rsidR="00CD4DA6" w:rsidRPr="003E33C5" w:rsidRDefault="00CD4DA6" w:rsidP="00F8482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3E33C5">
        <w:rPr>
          <w:rStyle w:val="paragrafnr"/>
          <w:rFonts w:ascii="Questa-Regular" w:hAnsi="Questa-Regular"/>
          <w:b/>
          <w:bCs/>
          <w:color w:val="212529"/>
        </w:rPr>
        <w:t>§ 3.</w:t>
      </w:r>
      <w:r w:rsidRPr="003E33C5">
        <w:rPr>
          <w:rFonts w:ascii="Questa-Regular" w:hAnsi="Questa-Regular"/>
          <w:color w:val="212529"/>
        </w:rPr>
        <w:t> Sager om modregning af erstatningsbeløb, jf. §§ 1</w:t>
      </w:r>
      <w:r w:rsidR="00FA21FF">
        <w:rPr>
          <w:rFonts w:ascii="Questa-Regular" w:hAnsi="Questa-Regular"/>
          <w:color w:val="212529"/>
        </w:rPr>
        <w:t xml:space="preserve"> og </w:t>
      </w:r>
      <w:bookmarkStart w:id="0" w:name="_GoBack"/>
      <w:bookmarkEnd w:id="0"/>
      <w:r w:rsidRPr="003E33C5">
        <w:rPr>
          <w:rFonts w:ascii="Questa-Regular" w:hAnsi="Questa-Regular"/>
          <w:color w:val="212529"/>
        </w:rPr>
        <w:t>2, behandles efter disciplinærstrafbekendtgørelsens §§ 5-9.</w:t>
      </w:r>
    </w:p>
    <w:p w14:paraId="0157E5E4" w14:textId="6B183EB1" w:rsidR="00CD4DA6" w:rsidRPr="003E33C5" w:rsidRDefault="00CD4DA6" w:rsidP="00F8482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3E33C5">
        <w:rPr>
          <w:rStyle w:val="paragrafnr"/>
          <w:rFonts w:ascii="Questa-Regular" w:hAnsi="Questa-Regular"/>
          <w:b/>
          <w:bCs/>
          <w:color w:val="212529"/>
        </w:rPr>
        <w:t>§ 4.</w:t>
      </w:r>
      <w:r w:rsidRPr="003E33C5">
        <w:rPr>
          <w:rFonts w:ascii="Questa-Regular" w:hAnsi="Questa-Regular"/>
          <w:color w:val="212529"/>
        </w:rPr>
        <w:t> Afgørelser, der er truffet af kriminalforsorgsområdet efter straffuldbyrdelseslovens § 74 over for afsonere om modregning af erstatningsbeløb, som overstiger det almindelige vederlag, der udbetales indsatte for en uges beskæftigelse, kan påklages til Direktoratet for Kriminalforsorgen.</w:t>
      </w:r>
    </w:p>
    <w:p w14:paraId="241B0E08" w14:textId="77777777" w:rsidR="00CD4DA6" w:rsidRPr="003E33C5" w:rsidRDefault="00CD4DA6" w:rsidP="00F84827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3E33C5">
        <w:rPr>
          <w:rStyle w:val="stknr"/>
          <w:rFonts w:ascii="Questa-Regular" w:hAnsi="Questa-Regular"/>
          <w:i/>
          <w:iCs/>
          <w:color w:val="212529"/>
        </w:rPr>
        <w:t>Stk. 2.</w:t>
      </w:r>
      <w:r w:rsidRPr="003E33C5">
        <w:rPr>
          <w:rFonts w:ascii="Questa-Regular" w:hAnsi="Questa-Regular"/>
          <w:color w:val="212529"/>
        </w:rPr>
        <w:t> Klage til Direktoratet for Kriminalforsorgen skal iværksættes inden to måneder efter, at afgørelsen er meddelt den indsatte. Direktoratet for Kriminalforsorgen kan i særlige tilfælde se bort fra denne frist.</w:t>
      </w:r>
    </w:p>
    <w:p w14:paraId="3CF61735" w14:textId="77777777" w:rsidR="00CD4DA6" w:rsidRPr="003E33C5" w:rsidRDefault="00CD4DA6" w:rsidP="00F84827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3E33C5">
        <w:rPr>
          <w:rStyle w:val="stknr"/>
          <w:rFonts w:ascii="Questa-Regular" w:hAnsi="Questa-Regular"/>
          <w:i/>
          <w:iCs/>
          <w:color w:val="212529"/>
        </w:rPr>
        <w:t>Stk. 3.</w:t>
      </w:r>
      <w:r w:rsidRPr="003E33C5">
        <w:rPr>
          <w:rFonts w:ascii="Questa-Regular" w:hAnsi="Questa-Regular"/>
          <w:color w:val="212529"/>
        </w:rPr>
        <w:t> En klage til Direktoratet for Kriminalforsorgen har ikke opsættende virkning, medmindre kriminalforsorgsområdet eller direktoratet træffer bestemmelse herom.</w:t>
      </w:r>
    </w:p>
    <w:p w14:paraId="47E52A7A" w14:textId="77777777" w:rsidR="00CD4DA6" w:rsidRPr="003E33C5" w:rsidRDefault="00CD4DA6" w:rsidP="00F8482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3E33C5">
        <w:rPr>
          <w:rStyle w:val="paragrafnr"/>
          <w:rFonts w:ascii="Questa-Regular" w:hAnsi="Questa-Regular"/>
          <w:b/>
          <w:bCs/>
          <w:color w:val="212529"/>
        </w:rPr>
        <w:t>§ 5.</w:t>
      </w:r>
      <w:r w:rsidRPr="003E33C5">
        <w:rPr>
          <w:rFonts w:ascii="Questa-Regular" w:hAnsi="Questa-Regular"/>
          <w:color w:val="212529"/>
        </w:rPr>
        <w:t> Er erstatningskravet ikke utvivlsomt, jf. § 1, eller giver en varetægtsarrestant ikke samtykke til modregningen, jf. § 2, stk. 2, kan erstatningsspørgsmålet indbringes for domstolene.</w:t>
      </w:r>
    </w:p>
    <w:p w14:paraId="3D9B60CA" w14:textId="2A20BED7" w:rsidR="00CD4DA6" w:rsidRPr="003E33C5" w:rsidRDefault="00CD4DA6" w:rsidP="00F84827">
      <w:pPr>
        <w:pStyle w:val="stk2"/>
        <w:shd w:val="clear" w:color="auto" w:fill="FFFFFF" w:themeFill="background1"/>
        <w:spacing w:before="0" w:beforeAutospacing="0" w:after="0" w:afterAutospacing="0" w:line="300" w:lineRule="auto"/>
        <w:ind w:firstLine="240"/>
        <w:jc w:val="both"/>
        <w:rPr>
          <w:rFonts w:ascii="Questa-Regular" w:hAnsi="Questa-Regular"/>
          <w:color w:val="212529"/>
        </w:rPr>
      </w:pPr>
      <w:r w:rsidRPr="003E33C5">
        <w:rPr>
          <w:rStyle w:val="stknr"/>
          <w:rFonts w:ascii="Questa-Regular" w:hAnsi="Questa-Regular"/>
          <w:i/>
          <w:iCs/>
          <w:color w:val="212529"/>
        </w:rPr>
        <w:lastRenderedPageBreak/>
        <w:t>Stk. 2.</w:t>
      </w:r>
      <w:r w:rsidRPr="003E33C5">
        <w:rPr>
          <w:rFonts w:ascii="Questa-Regular" w:hAnsi="Questa-Regular"/>
          <w:color w:val="212529"/>
        </w:rPr>
        <w:t xml:space="preserve"> Alle spørgsmål om indbringelse af erstatningsspørgsmål for domstolene behandles af </w:t>
      </w:r>
      <w:r w:rsidR="00A953AB" w:rsidRPr="003E33C5">
        <w:rPr>
          <w:rFonts w:ascii="Questa-Regular" w:hAnsi="Questa-Regular"/>
          <w:color w:val="212529"/>
        </w:rPr>
        <w:t>kriminalforsorgsområdet</w:t>
      </w:r>
      <w:r w:rsidRPr="003E33C5">
        <w:rPr>
          <w:rFonts w:ascii="Questa-Regular" w:hAnsi="Questa-Regular"/>
          <w:color w:val="212529"/>
        </w:rPr>
        <w:t>.</w:t>
      </w:r>
    </w:p>
    <w:p w14:paraId="4A33F54F" w14:textId="43D0E3A2" w:rsidR="00CD4DA6" w:rsidRPr="003E33C5" w:rsidRDefault="00CD4DA6" w:rsidP="00F84827">
      <w:pPr>
        <w:pStyle w:val="paragrafgruppeoverskrift"/>
        <w:shd w:val="clear" w:color="auto" w:fill="FFFFFF" w:themeFill="background1"/>
        <w:spacing w:before="300" w:beforeAutospacing="0" w:afterAutospacing="0" w:line="300" w:lineRule="auto"/>
        <w:jc w:val="center"/>
        <w:rPr>
          <w:rFonts w:ascii="Questa-Regular" w:hAnsi="Questa-Regular"/>
          <w:i/>
          <w:iCs/>
          <w:color w:val="212529"/>
        </w:rPr>
      </w:pPr>
      <w:r w:rsidRPr="003E33C5">
        <w:rPr>
          <w:rFonts w:ascii="Questa-Regular" w:hAnsi="Questa-Regular"/>
          <w:i/>
          <w:iCs/>
          <w:color w:val="212529"/>
        </w:rPr>
        <w:t>Ikrafttræ</w:t>
      </w:r>
      <w:r w:rsidR="00392E2C">
        <w:rPr>
          <w:rFonts w:ascii="Questa-Regular" w:hAnsi="Questa-Regular"/>
          <w:i/>
          <w:iCs/>
          <w:color w:val="212529"/>
        </w:rPr>
        <w:t>den</w:t>
      </w:r>
    </w:p>
    <w:p w14:paraId="4656A34D" w14:textId="0D92FFDE" w:rsidR="00CD4DA6" w:rsidRPr="003E33C5" w:rsidRDefault="00CD4DA6" w:rsidP="00F84827">
      <w:pPr>
        <w:pStyle w:val="paragraf"/>
        <w:shd w:val="clear" w:color="auto" w:fill="FFFFFF" w:themeFill="background1"/>
        <w:spacing w:before="200" w:beforeAutospacing="0" w:after="0" w:afterAutospacing="0" w:line="300" w:lineRule="auto"/>
        <w:ind w:firstLine="240"/>
        <w:rPr>
          <w:rFonts w:ascii="Questa-Regular" w:hAnsi="Questa-Regular"/>
          <w:color w:val="212529"/>
        </w:rPr>
      </w:pPr>
      <w:r w:rsidRPr="003E33C5">
        <w:rPr>
          <w:rStyle w:val="paragrafnr"/>
          <w:rFonts w:ascii="Questa-Regular" w:hAnsi="Questa-Regular"/>
          <w:b/>
          <w:bCs/>
          <w:color w:val="212529"/>
        </w:rPr>
        <w:t>§ </w:t>
      </w:r>
      <w:r w:rsidR="00002677" w:rsidRPr="003E33C5">
        <w:rPr>
          <w:rStyle w:val="paragrafnr"/>
          <w:rFonts w:ascii="Questa-Regular" w:hAnsi="Questa-Regular"/>
          <w:b/>
          <w:bCs/>
          <w:color w:val="212529"/>
        </w:rPr>
        <w:t>6</w:t>
      </w:r>
      <w:r w:rsidRPr="003E33C5">
        <w:rPr>
          <w:rStyle w:val="paragrafnr"/>
          <w:rFonts w:ascii="Questa-Regular" w:hAnsi="Questa-Regular"/>
          <w:b/>
          <w:bCs/>
          <w:color w:val="212529"/>
        </w:rPr>
        <w:t>.</w:t>
      </w:r>
      <w:r w:rsidRPr="003E33C5">
        <w:rPr>
          <w:rFonts w:ascii="Questa-Regular" w:hAnsi="Questa-Regular"/>
          <w:color w:val="212529"/>
        </w:rPr>
        <w:t> Bekendtgørelsen træder i kraft</w:t>
      </w:r>
      <w:r w:rsidR="00211831">
        <w:rPr>
          <w:rFonts w:ascii="Questa-Regular" w:hAnsi="Questa-Regular"/>
          <w:color w:val="212529"/>
        </w:rPr>
        <w:t xml:space="preserve"> den</w:t>
      </w:r>
      <w:r w:rsidR="001E09DD">
        <w:rPr>
          <w:rFonts w:ascii="Questa-Regular" w:hAnsi="Questa-Regular"/>
          <w:color w:val="212529"/>
        </w:rPr>
        <w:t xml:space="preserve"> 1. juli 2023.</w:t>
      </w:r>
    </w:p>
    <w:p w14:paraId="6737A1E3" w14:textId="68EA6A1A" w:rsidR="001D2662" w:rsidRPr="003E33C5" w:rsidRDefault="00CD4DA6" w:rsidP="00F84827">
      <w:pPr>
        <w:pStyle w:val="givet"/>
        <w:shd w:val="clear" w:color="auto" w:fill="FFFFFF" w:themeFill="background1"/>
        <w:spacing w:before="120" w:beforeAutospacing="0" w:after="0" w:afterAutospacing="0" w:line="300" w:lineRule="auto"/>
        <w:jc w:val="center"/>
        <w:rPr>
          <w:rFonts w:ascii="Questa-Regular" w:hAnsi="Questa-Regular"/>
          <w:color w:val="000000"/>
          <w:u w:val="single"/>
        </w:rPr>
      </w:pPr>
      <w:r w:rsidRPr="003E33C5">
        <w:rPr>
          <w:rFonts w:ascii="Questa-Regular" w:hAnsi="Questa-Regular"/>
          <w:i/>
          <w:iCs/>
          <w:color w:val="212529"/>
        </w:rPr>
        <w:t xml:space="preserve">Justitsministeriet, den </w:t>
      </w:r>
    </w:p>
    <w:p w14:paraId="7D9C9024" w14:textId="77777777" w:rsidR="00246B6B" w:rsidRPr="000B1BD3" w:rsidRDefault="00246B6B" w:rsidP="00F84827">
      <w:pPr>
        <w:shd w:val="clear" w:color="auto" w:fill="FFFFFF" w:themeFill="background1"/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 w:rsidR="00246B6B" w:rsidRPr="000B1B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509"/>
    <w:multiLevelType w:val="hybridMultilevel"/>
    <w:tmpl w:val="74D0CF8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B2D93"/>
    <w:multiLevelType w:val="hybridMultilevel"/>
    <w:tmpl w:val="BEFEB894"/>
    <w:lvl w:ilvl="0" w:tplc="AA18C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A6"/>
    <w:rsid w:val="00002677"/>
    <w:rsid w:val="000219A5"/>
    <w:rsid w:val="000B1BD3"/>
    <w:rsid w:val="000D793D"/>
    <w:rsid w:val="000E58E1"/>
    <w:rsid w:val="00143615"/>
    <w:rsid w:val="00165D41"/>
    <w:rsid w:val="001D2662"/>
    <w:rsid w:val="001E09DD"/>
    <w:rsid w:val="00211831"/>
    <w:rsid w:val="00242E59"/>
    <w:rsid w:val="00246B6B"/>
    <w:rsid w:val="00270445"/>
    <w:rsid w:val="002A451F"/>
    <w:rsid w:val="002B6063"/>
    <w:rsid w:val="002F0E40"/>
    <w:rsid w:val="00392E2C"/>
    <w:rsid w:val="003B6AF7"/>
    <w:rsid w:val="003E33C5"/>
    <w:rsid w:val="003F3F7E"/>
    <w:rsid w:val="0041239F"/>
    <w:rsid w:val="0042747B"/>
    <w:rsid w:val="0052051E"/>
    <w:rsid w:val="00521C1F"/>
    <w:rsid w:val="006B6488"/>
    <w:rsid w:val="007B5730"/>
    <w:rsid w:val="0084387A"/>
    <w:rsid w:val="00853F0D"/>
    <w:rsid w:val="008926B6"/>
    <w:rsid w:val="008B5A62"/>
    <w:rsid w:val="00993654"/>
    <w:rsid w:val="009A3DB7"/>
    <w:rsid w:val="009B2BC9"/>
    <w:rsid w:val="009D7852"/>
    <w:rsid w:val="009E3C87"/>
    <w:rsid w:val="00A46C95"/>
    <w:rsid w:val="00A501EF"/>
    <w:rsid w:val="00A647D9"/>
    <w:rsid w:val="00A953AB"/>
    <w:rsid w:val="00AA33CB"/>
    <w:rsid w:val="00AA738E"/>
    <w:rsid w:val="00AB537C"/>
    <w:rsid w:val="00AC3674"/>
    <w:rsid w:val="00B71720"/>
    <w:rsid w:val="00B954D6"/>
    <w:rsid w:val="00C24FF4"/>
    <w:rsid w:val="00C36DAA"/>
    <w:rsid w:val="00C40769"/>
    <w:rsid w:val="00CC47A0"/>
    <w:rsid w:val="00CD4DA6"/>
    <w:rsid w:val="00E301B3"/>
    <w:rsid w:val="00E63672"/>
    <w:rsid w:val="00E72319"/>
    <w:rsid w:val="00EB0E88"/>
    <w:rsid w:val="00EB29BB"/>
    <w:rsid w:val="00F84827"/>
    <w:rsid w:val="00F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5B32"/>
  <w15:chartTrackingRefBased/>
  <w15:docId w15:val="{A089D4B1-394F-4CFF-8468-83D1C6D3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2">
    <w:name w:val="titel2"/>
    <w:basedOn w:val="Normal"/>
    <w:rsid w:val="00C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C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C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C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CD4DA6"/>
  </w:style>
  <w:style w:type="paragraph" w:customStyle="1" w:styleId="stk2">
    <w:name w:val="stk2"/>
    <w:basedOn w:val="Normal"/>
    <w:rsid w:val="00C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CD4DA6"/>
  </w:style>
  <w:style w:type="character" w:customStyle="1" w:styleId="bold">
    <w:name w:val="bold"/>
    <w:basedOn w:val="Standardskrifttypeiafsnit"/>
    <w:rsid w:val="00CD4DA6"/>
  </w:style>
  <w:style w:type="paragraph" w:customStyle="1" w:styleId="givet">
    <w:name w:val="givet"/>
    <w:basedOn w:val="Normal"/>
    <w:rsid w:val="00C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rsid w:val="00C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2">
    <w:name w:val="sign2"/>
    <w:basedOn w:val="Normal"/>
    <w:rsid w:val="00C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60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B60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B606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60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606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606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D2662"/>
    <w:pPr>
      <w:spacing w:after="0" w:line="288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Korrektur">
    <w:name w:val="Revision"/>
    <w:hidden/>
    <w:uiPriority w:val="99"/>
    <w:semiHidden/>
    <w:rsid w:val="003E3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2268</Characters>
  <Application>Microsoft Office Word</Application>
  <DocSecurity>0</DocSecurity>
  <Lines>36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Dragsted</dc:creator>
  <cp:keywords/>
  <dc:description/>
  <cp:lastModifiedBy>Nanna Thorbøll Madsen</cp:lastModifiedBy>
  <cp:revision>7</cp:revision>
  <cp:lastPrinted>2023-04-21T09:10:00Z</cp:lastPrinted>
  <dcterms:created xsi:type="dcterms:W3CDTF">2023-04-20T11:29:00Z</dcterms:created>
  <dcterms:modified xsi:type="dcterms:W3CDTF">2023-04-21T09:20:00Z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