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6F26" w14:textId="77777777" w:rsidR="002E3622" w:rsidRPr="007911E3" w:rsidRDefault="002E3622" w:rsidP="007911E3">
      <w:pPr>
        <w:pStyle w:val="titel2"/>
        <w:spacing w:before="200" w:beforeAutospacing="0" w:after="200" w:afterAutospacing="0" w:line="300" w:lineRule="auto"/>
        <w:jc w:val="center"/>
        <w:rPr>
          <w:rFonts w:ascii="Questa-Regular" w:hAnsi="Questa-Regular" w:cstheme="minorHAnsi"/>
          <w:color w:val="212529"/>
          <w:sz w:val="37"/>
          <w:szCs w:val="37"/>
        </w:rPr>
      </w:pPr>
      <w:r w:rsidRPr="007911E3">
        <w:rPr>
          <w:rFonts w:ascii="Questa-Regular" w:hAnsi="Questa-Regular" w:cstheme="minorHAnsi"/>
          <w:color w:val="212529"/>
          <w:sz w:val="37"/>
          <w:szCs w:val="37"/>
        </w:rPr>
        <w:t xml:space="preserve">Bekendtgørelse </w:t>
      </w:r>
      <w:r w:rsidR="00614ED4" w:rsidRPr="007911E3">
        <w:rPr>
          <w:rFonts w:ascii="Questa-Regular" w:hAnsi="Questa-Regular" w:cstheme="minorHAnsi"/>
          <w:color w:val="212529"/>
          <w:sz w:val="37"/>
          <w:szCs w:val="37"/>
        </w:rPr>
        <w:t xml:space="preserve">for Færøerne </w:t>
      </w:r>
      <w:r w:rsidRPr="007911E3">
        <w:rPr>
          <w:rFonts w:ascii="Questa-Regular" w:hAnsi="Questa-Regular" w:cstheme="minorHAnsi"/>
          <w:color w:val="212529"/>
          <w:sz w:val="37"/>
          <w:szCs w:val="37"/>
        </w:rPr>
        <w:t>om behandlingen af krav fra dømte og varetægtsarrestanter om erstatning i anledning af uforskyldte indgreb under fuldbyrdelse af straf m.v.</w:t>
      </w:r>
    </w:p>
    <w:p w14:paraId="31ECE5B0" w14:textId="07E102D6" w:rsidR="002E3622" w:rsidRPr="007911E3" w:rsidRDefault="002E3622" w:rsidP="007911E3">
      <w:pPr>
        <w:pStyle w:val="indledning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Fonts w:ascii="Questa-Regular" w:hAnsi="Questa-Regular" w:cstheme="minorHAnsi"/>
          <w:color w:val="212529"/>
        </w:rPr>
        <w:t xml:space="preserve">I medfør af § 109 og § 111, stk. 3, i lov </w:t>
      </w:r>
      <w:r w:rsidR="00006688" w:rsidRPr="007911E3">
        <w:rPr>
          <w:rFonts w:ascii="Questa-Regular" w:hAnsi="Questa-Regular" w:cstheme="minorHAnsi"/>
          <w:color w:val="212529"/>
        </w:rPr>
        <w:t xml:space="preserve">nr…. af… </w:t>
      </w:r>
      <w:r w:rsidR="00614ED4" w:rsidRPr="007911E3">
        <w:rPr>
          <w:rFonts w:ascii="Questa-Regular" w:hAnsi="Questa-Regular" w:cstheme="minorHAnsi"/>
          <w:color w:val="212529"/>
        </w:rPr>
        <w:t xml:space="preserve">for Færøerne </w:t>
      </w:r>
      <w:r w:rsidRPr="007911E3">
        <w:rPr>
          <w:rFonts w:ascii="Questa-Regular" w:hAnsi="Questa-Regular" w:cstheme="minorHAnsi"/>
          <w:color w:val="212529"/>
        </w:rPr>
        <w:t xml:space="preserve">om fuldbyrdelse af straf m.v., og § </w:t>
      </w:r>
      <w:r w:rsidR="00614ED4" w:rsidRPr="007911E3">
        <w:rPr>
          <w:rFonts w:ascii="Questa-Regular" w:hAnsi="Questa-Regular" w:cstheme="minorHAnsi"/>
          <w:color w:val="212529"/>
        </w:rPr>
        <w:t>809</w:t>
      </w:r>
      <w:r w:rsidRPr="007911E3">
        <w:rPr>
          <w:rFonts w:ascii="Questa-Regular" w:hAnsi="Questa-Regular" w:cstheme="minorHAnsi"/>
          <w:color w:val="212529"/>
        </w:rPr>
        <w:t xml:space="preserve">, 1. pkt., i </w:t>
      </w:r>
      <w:r w:rsidR="00F60B73" w:rsidRPr="007911E3">
        <w:rPr>
          <w:rFonts w:ascii="Questa-Regular" w:hAnsi="Questa-Regular" w:cstheme="minorHAnsi"/>
          <w:color w:val="212529"/>
        </w:rPr>
        <w:t>r</w:t>
      </w:r>
      <w:r w:rsidR="00030F3C" w:rsidRPr="007911E3">
        <w:rPr>
          <w:rFonts w:ascii="Questa-Regular" w:hAnsi="Questa-Regular" w:cstheme="minorHAnsi"/>
          <w:color w:val="212529"/>
        </w:rPr>
        <w:t>etsplejelov for Færøerne, jf. lov nr. 964 af 26. juni 2020, som ændret ved</w:t>
      </w:r>
      <w:r w:rsidR="007911E3">
        <w:rPr>
          <w:rFonts w:ascii="Questa-Regular" w:hAnsi="Questa-Regular" w:cstheme="minorHAnsi"/>
          <w:color w:val="212529"/>
        </w:rPr>
        <w:t xml:space="preserve"> lov nr… af…</w:t>
      </w:r>
      <w:r w:rsidRPr="007911E3">
        <w:rPr>
          <w:rFonts w:ascii="Questa-Regular" w:hAnsi="Questa-Regular" w:cstheme="minorHAnsi"/>
          <w:color w:val="212529"/>
        </w:rPr>
        <w:t>, fastsættes:</w:t>
      </w:r>
    </w:p>
    <w:p w14:paraId="68346574" w14:textId="1FA1F747" w:rsidR="002E3622" w:rsidRPr="007911E3" w:rsidRDefault="002E3622" w:rsidP="007911E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1.</w:t>
      </w:r>
      <w:r w:rsidRPr="007911E3">
        <w:rPr>
          <w:rFonts w:ascii="Questa-Regular" w:hAnsi="Questa-Regular" w:cstheme="minorHAnsi"/>
          <w:color w:val="212529"/>
        </w:rPr>
        <w:t xml:space="preserve"> Afgørelse af krav om erstatning i anledning af uforskyldte indgreb under fuldbyrdelse af straf m.v. træffes </w:t>
      </w:r>
      <w:r w:rsidR="00030F3C" w:rsidRPr="007911E3">
        <w:rPr>
          <w:rFonts w:ascii="Questa-Regular" w:hAnsi="Questa-Regular" w:cstheme="minorHAnsi"/>
          <w:color w:val="212529"/>
        </w:rPr>
        <w:t xml:space="preserve">af kriminalforsorgsområdet </w:t>
      </w:r>
      <w:r w:rsidRPr="007911E3">
        <w:rPr>
          <w:rFonts w:ascii="Questa-Regular" w:hAnsi="Questa-Regular" w:cstheme="minorHAnsi"/>
          <w:color w:val="212529"/>
        </w:rPr>
        <w:t>efter reglerne i straffuldbyrdelseslovens §§ 106</w:t>
      </w:r>
      <w:r w:rsidR="00600D43">
        <w:rPr>
          <w:rFonts w:ascii="Questa-Regular" w:hAnsi="Questa-Regular" w:cstheme="minorHAnsi"/>
          <w:color w:val="212529"/>
        </w:rPr>
        <w:t xml:space="preserve"> og </w:t>
      </w:r>
      <w:r w:rsidRPr="007911E3">
        <w:rPr>
          <w:rFonts w:ascii="Questa-Regular" w:hAnsi="Questa-Regular" w:cstheme="minorHAnsi"/>
          <w:color w:val="212529"/>
        </w:rPr>
        <w:t>107</w:t>
      </w:r>
      <w:r w:rsidR="001734AC" w:rsidRPr="007911E3">
        <w:rPr>
          <w:rFonts w:ascii="Questa-Regular" w:hAnsi="Questa-Regular" w:cstheme="minorHAnsi"/>
          <w:color w:val="212529"/>
        </w:rPr>
        <w:t>.</w:t>
      </w:r>
    </w:p>
    <w:p w14:paraId="3D250F26" w14:textId="77777777" w:rsidR="002E3622" w:rsidRPr="007911E3" w:rsidRDefault="002E3622" w:rsidP="007911E3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7911E3">
        <w:rPr>
          <w:rFonts w:ascii="Questa-Regular" w:hAnsi="Questa-Regular" w:cstheme="minorHAnsi"/>
          <w:color w:val="212529"/>
        </w:rPr>
        <w:t> Skal der foretages fradrag i straffetiden som nævnt i straffuldbyrdelseslovens § 18, stk. 3, kan afgørelse om erstatningens størrelse først træffes, når omberegningen af straffetiden er foretaget i overensstemmelse med strafberegningsbekendtgørelsens § 7.</w:t>
      </w:r>
    </w:p>
    <w:p w14:paraId="51C2EFE2" w14:textId="26ED6360" w:rsidR="002E3622" w:rsidRPr="007911E3" w:rsidRDefault="002E3622" w:rsidP="007911E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2.</w:t>
      </w:r>
      <w:r w:rsidRPr="007911E3">
        <w:rPr>
          <w:rFonts w:ascii="Questa-Regular" w:hAnsi="Questa-Regular" w:cstheme="minorHAnsi"/>
          <w:color w:val="212529"/>
        </w:rPr>
        <w:t xml:space="preserve"> Spørgsmål om erstatning til varetægtsarrestanter i anledning af strafferetlig forfølgning behandles efter retsplejelovens kapitel </w:t>
      </w:r>
      <w:r w:rsidR="00030F3C" w:rsidRPr="007911E3">
        <w:rPr>
          <w:rFonts w:ascii="Questa-Regular" w:hAnsi="Questa-Regular" w:cstheme="minorHAnsi"/>
          <w:color w:val="212529"/>
        </w:rPr>
        <w:t>106</w:t>
      </w:r>
      <w:r w:rsidRPr="007911E3">
        <w:rPr>
          <w:rFonts w:ascii="Questa-Regular" w:hAnsi="Questa-Regular" w:cstheme="minorHAnsi"/>
          <w:color w:val="212529"/>
        </w:rPr>
        <w:t>.</w:t>
      </w:r>
    </w:p>
    <w:p w14:paraId="3E798B17" w14:textId="77777777" w:rsidR="002E3622" w:rsidRPr="007911E3" w:rsidRDefault="002E3622" w:rsidP="007911E3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7911E3">
        <w:rPr>
          <w:rFonts w:ascii="Questa-Regular" w:hAnsi="Questa-Regular" w:cstheme="minorHAnsi"/>
          <w:color w:val="212529"/>
        </w:rPr>
        <w:t> Kriminalforsorgsområdet sender spørgsmål om erstatning til varetægtsarrestanter, jf. stk. 1, til anklagemyndigheden til videre foranstaltning.</w:t>
      </w:r>
    </w:p>
    <w:p w14:paraId="57D9D0F6" w14:textId="77777777" w:rsidR="002E3622" w:rsidRPr="007911E3" w:rsidRDefault="002E3622" w:rsidP="007911E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3.</w:t>
      </w:r>
      <w:r w:rsidRPr="007911E3">
        <w:rPr>
          <w:rFonts w:ascii="Questa-Regular" w:hAnsi="Questa-Regular" w:cstheme="minorHAnsi"/>
          <w:color w:val="212529"/>
        </w:rPr>
        <w:t> Afgørelser, der i henhold til denne bekendtgørelses § 1 er truffet af kriminalforsorgsområdet, kan påklages til Direktoratet for Kriminalforsorgen, såfremt afgørelsen om det indgreb, der ligger til grund for afgørelsen om erstatning, er undergivet klageadgang til direktoratet, jf. straffuldbyrdelseslovens § 111, stk. 3.</w:t>
      </w:r>
    </w:p>
    <w:p w14:paraId="5A3264E0" w14:textId="77777777" w:rsidR="002E3622" w:rsidRPr="007911E3" w:rsidRDefault="002E3622" w:rsidP="007911E3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2.</w:t>
      </w:r>
      <w:r w:rsidRPr="007911E3">
        <w:rPr>
          <w:rFonts w:ascii="Questa-Regular" w:hAnsi="Questa-Regular" w:cstheme="minorHAnsi"/>
          <w:color w:val="212529"/>
        </w:rPr>
        <w:t> Klage til direktoratet skal iværksættes inden to måneder efter, at afgørelsen er meddelt den indsatte. Direktoratet kan i særlige tilfælde se bort fra denne frist.</w:t>
      </w:r>
    </w:p>
    <w:p w14:paraId="5A54DAB6" w14:textId="77777777" w:rsidR="002E3622" w:rsidRPr="007911E3" w:rsidRDefault="002E3622" w:rsidP="007911E3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stknr"/>
          <w:rFonts w:ascii="Questa-Regular" w:eastAsiaTheme="majorEastAsia" w:hAnsi="Questa-Regular" w:cstheme="minorHAnsi"/>
          <w:i/>
          <w:iCs/>
          <w:color w:val="212529"/>
        </w:rPr>
        <w:t>Stk. 3.</w:t>
      </w:r>
      <w:r w:rsidRPr="007911E3">
        <w:rPr>
          <w:rFonts w:ascii="Questa-Regular" w:hAnsi="Questa-Regular" w:cstheme="minorHAnsi"/>
          <w:color w:val="212529"/>
        </w:rPr>
        <w:t> En klage til direktoratet har ikke opsættende virkning, medmindre kriminalforsorgsområdet eller direktoratet træffer bestemmelse herom.</w:t>
      </w:r>
    </w:p>
    <w:p w14:paraId="04576332" w14:textId="2702036C" w:rsidR="002E3622" w:rsidRPr="007911E3" w:rsidRDefault="002E3622" w:rsidP="007911E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4.</w:t>
      </w:r>
      <w:r w:rsidRPr="007911E3">
        <w:rPr>
          <w:rFonts w:ascii="Questa-Regular" w:hAnsi="Questa-Regular" w:cstheme="minorHAnsi"/>
          <w:color w:val="212529"/>
        </w:rPr>
        <w:t> Når der træffes afgørelse vedrørende et krav om erstatning efter straffuldbyrdelsesloven</w:t>
      </w:r>
      <w:bookmarkStart w:id="0" w:name="_GoBack"/>
      <w:r w:rsidR="00030426">
        <w:rPr>
          <w:rFonts w:ascii="Questa-Regular" w:hAnsi="Questa-Regular" w:cstheme="minorHAnsi"/>
          <w:color w:val="212529"/>
        </w:rPr>
        <w:t>s</w:t>
      </w:r>
      <w:bookmarkEnd w:id="0"/>
      <w:r w:rsidRPr="007911E3">
        <w:rPr>
          <w:rFonts w:ascii="Questa-Regular" w:hAnsi="Questa-Regular" w:cstheme="minorHAnsi"/>
          <w:color w:val="212529"/>
        </w:rPr>
        <w:t xml:space="preserve"> § 106 eller § 107, skal der gøres notat herom. Det skal fremgå af notatet, at den indsatte er orienteret om muligheden for at påklage afgørelsen til Direktoratet for Kriminalforsorgen, i de tilfælde, hvor dette fremgår af § 3, stk. 1, og om fristen for at indgive klage, jf. § 3, stk. 2.</w:t>
      </w:r>
    </w:p>
    <w:p w14:paraId="278517EF" w14:textId="4C666412" w:rsidR="002E3622" w:rsidRPr="007911E3" w:rsidRDefault="002E3622" w:rsidP="007911E3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theme="minorHAnsi"/>
          <w:color w:val="212529"/>
        </w:rPr>
      </w:pPr>
      <w:r w:rsidRPr="007911E3">
        <w:rPr>
          <w:rStyle w:val="paragrafnr"/>
          <w:rFonts w:ascii="Questa-Regular" w:eastAsiaTheme="majorEastAsia" w:hAnsi="Questa-Regular" w:cstheme="minorHAnsi"/>
          <w:b/>
          <w:bCs/>
          <w:color w:val="212529"/>
        </w:rPr>
        <w:t>§ 5.</w:t>
      </w:r>
      <w:r w:rsidRPr="007911E3">
        <w:rPr>
          <w:rFonts w:ascii="Questa-Regular" w:hAnsi="Questa-Regular" w:cstheme="minorHAnsi"/>
          <w:color w:val="212529"/>
        </w:rPr>
        <w:t> Bekendtgørelsen træder i kraft</w:t>
      </w:r>
      <w:r w:rsidR="002C56FF" w:rsidRPr="007911E3">
        <w:rPr>
          <w:rFonts w:ascii="Questa-Regular" w:hAnsi="Questa-Regular" w:cstheme="minorHAnsi"/>
          <w:color w:val="212529"/>
        </w:rPr>
        <w:t xml:space="preserve"> den</w:t>
      </w:r>
      <w:r w:rsidRPr="007911E3">
        <w:rPr>
          <w:rFonts w:ascii="Questa-Regular" w:hAnsi="Questa-Regular" w:cstheme="minorHAnsi"/>
          <w:color w:val="212529"/>
        </w:rPr>
        <w:t xml:space="preserve"> </w:t>
      </w:r>
      <w:r w:rsidR="009B03AC" w:rsidRPr="007911E3">
        <w:rPr>
          <w:rFonts w:ascii="Questa-Regular" w:hAnsi="Questa-Regular" w:cstheme="minorHAnsi"/>
          <w:color w:val="212529"/>
        </w:rPr>
        <w:t>1. juli 2023.</w:t>
      </w:r>
    </w:p>
    <w:p w14:paraId="23684C06" w14:textId="73C98429" w:rsidR="002E3622" w:rsidRPr="007911E3" w:rsidRDefault="002E3622" w:rsidP="007911E3">
      <w:pPr>
        <w:pStyle w:val="givet"/>
        <w:spacing w:before="120" w:beforeAutospacing="0" w:after="0" w:afterAutospacing="0" w:line="300" w:lineRule="auto"/>
        <w:jc w:val="center"/>
        <w:rPr>
          <w:rFonts w:ascii="Questa-Regular" w:hAnsi="Questa-Regular" w:cstheme="minorHAnsi"/>
          <w:i/>
          <w:iCs/>
          <w:color w:val="212529"/>
        </w:rPr>
      </w:pPr>
      <w:r w:rsidRPr="007911E3">
        <w:rPr>
          <w:rFonts w:ascii="Questa-Regular" w:hAnsi="Questa-Regular" w:cstheme="minorHAnsi"/>
          <w:i/>
          <w:iCs/>
          <w:color w:val="212529"/>
        </w:rPr>
        <w:t>Justitsministeriet, den</w:t>
      </w:r>
    </w:p>
    <w:p w14:paraId="384E0E4D" w14:textId="3E04044A" w:rsidR="0065383F" w:rsidRPr="007911E3" w:rsidRDefault="0065383F" w:rsidP="007911E3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5383F" w:rsidRPr="007911E3" w:rsidSect="002E3622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098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6D7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0EC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297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476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F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24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000D7"/>
    <w:multiLevelType w:val="hybridMultilevel"/>
    <w:tmpl w:val="D774FA18"/>
    <w:lvl w:ilvl="0" w:tplc="14A8C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22"/>
    <w:rsid w:val="00006688"/>
    <w:rsid w:val="00007620"/>
    <w:rsid w:val="00030426"/>
    <w:rsid w:val="00030F3C"/>
    <w:rsid w:val="000B7DEE"/>
    <w:rsid w:val="00143615"/>
    <w:rsid w:val="001734AC"/>
    <w:rsid w:val="00181700"/>
    <w:rsid w:val="001A6ECC"/>
    <w:rsid w:val="002C56FF"/>
    <w:rsid w:val="002E3622"/>
    <w:rsid w:val="002F2A88"/>
    <w:rsid w:val="003165E2"/>
    <w:rsid w:val="00347367"/>
    <w:rsid w:val="003530D8"/>
    <w:rsid w:val="00395562"/>
    <w:rsid w:val="003B71B6"/>
    <w:rsid w:val="0048273E"/>
    <w:rsid w:val="004B6901"/>
    <w:rsid w:val="004D062A"/>
    <w:rsid w:val="004D69D4"/>
    <w:rsid w:val="00583AA8"/>
    <w:rsid w:val="005A3207"/>
    <w:rsid w:val="00600D43"/>
    <w:rsid w:val="00614ED4"/>
    <w:rsid w:val="0065383F"/>
    <w:rsid w:val="007911E3"/>
    <w:rsid w:val="00947B29"/>
    <w:rsid w:val="009B03AC"/>
    <w:rsid w:val="009B33BE"/>
    <w:rsid w:val="009F0EFD"/>
    <w:rsid w:val="00A87350"/>
    <w:rsid w:val="00B80BA3"/>
    <w:rsid w:val="00BF039D"/>
    <w:rsid w:val="00D51293"/>
    <w:rsid w:val="00D7723E"/>
    <w:rsid w:val="00E2341C"/>
    <w:rsid w:val="00E30D87"/>
    <w:rsid w:val="00F31B7C"/>
    <w:rsid w:val="00F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B426"/>
  <w15:chartTrackingRefBased/>
  <w15:docId w15:val="{20721A44-698A-46A6-ABBF-34E858E9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2"/>
    <w:lsdException w:name="FollowedHyperlink" w:semiHidden="1" w:uiPriority="22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622"/>
    <w:pPr>
      <w:spacing w:after="0" w:line="288" w:lineRule="auto"/>
    </w:pPr>
    <w:rPr>
      <w:rFonts w:ascii="Trebuchet MS" w:hAnsi="Trebuchet M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E3622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E3622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E3622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E3622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E3622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E3622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E3622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E3622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E3622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E3622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3622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3622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E3622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E3622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E3622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E3622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E3622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E3622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2E3622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E3622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2E3622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2E3622"/>
    <w:rPr>
      <w:rFonts w:ascii="Trebuchet MS" w:hAnsi="Trebuchet MS"/>
      <w:sz w:val="14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2E362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2E3622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2E362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2E3622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E3622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2E3622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2E3622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2E362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2E3622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E3622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3622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2E3622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3622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2E3622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2E3622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2E3622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2E3622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2E3622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2E3622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2E3622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2E3622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3622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2E362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2E3622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E3622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2E3622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2E3622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2E3622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2E3622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2E3622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rsid w:val="002E3622"/>
    <w:rPr>
      <w:sz w:val="14"/>
    </w:rPr>
  </w:style>
  <w:style w:type="paragraph" w:customStyle="1" w:styleId="Template">
    <w:name w:val="Template"/>
    <w:uiPriority w:val="8"/>
    <w:semiHidden/>
    <w:rsid w:val="002E3622"/>
    <w:pPr>
      <w:spacing w:after="0" w:line="220" w:lineRule="atLeast"/>
    </w:pPr>
    <w:rPr>
      <w:rFonts w:ascii="Trebuchet MS" w:hAnsi="Trebuchet MS"/>
      <w:noProof/>
      <w:sz w:val="14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2E3622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2E3622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2E3622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362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E362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E3622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E3622"/>
    <w:rPr>
      <w:color w:val="auto"/>
    </w:rPr>
  </w:style>
  <w:style w:type="paragraph" w:customStyle="1" w:styleId="Tabel">
    <w:name w:val="Tabel"/>
    <w:uiPriority w:val="4"/>
    <w:semiHidden/>
    <w:rsid w:val="002E3622"/>
    <w:pPr>
      <w:spacing w:before="40" w:after="40" w:line="240" w:lineRule="atLeast"/>
      <w:ind w:left="113" w:right="113"/>
    </w:pPr>
    <w:rPr>
      <w:rFonts w:ascii="Trebuchet MS" w:hAnsi="Trebuchet MS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2E3622"/>
  </w:style>
  <w:style w:type="paragraph" w:customStyle="1" w:styleId="Tabel-TekstTotal">
    <w:name w:val="Tabel - Tekst Total"/>
    <w:basedOn w:val="Tabel-Tekst"/>
    <w:uiPriority w:val="4"/>
    <w:semiHidden/>
    <w:rsid w:val="002E3622"/>
    <w:rPr>
      <w:b/>
    </w:rPr>
  </w:style>
  <w:style w:type="paragraph" w:customStyle="1" w:styleId="Tabel-Tal">
    <w:name w:val="Tabel - Tal"/>
    <w:basedOn w:val="Tabel"/>
    <w:uiPriority w:val="4"/>
    <w:semiHidden/>
    <w:rsid w:val="002E3622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2E362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2E3622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2E3622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2E3622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3622"/>
    <w:pPr>
      <w:ind w:right="567"/>
    </w:pPr>
  </w:style>
  <w:style w:type="paragraph" w:styleId="Normalindrykning">
    <w:name w:val="Normal Indent"/>
    <w:basedOn w:val="Normal"/>
    <w:rsid w:val="002E3622"/>
    <w:pPr>
      <w:ind w:left="1134"/>
    </w:pPr>
  </w:style>
  <w:style w:type="table" w:styleId="Tabel-Gitter">
    <w:name w:val="Table Grid"/>
    <w:basedOn w:val="Tabel-Normal"/>
    <w:uiPriority w:val="59"/>
    <w:rsid w:val="002E3622"/>
    <w:pPr>
      <w:spacing w:after="0" w:line="240" w:lineRule="atLeast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E3622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2E3622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E3622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2E3622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2E3622"/>
    <w:rPr>
      <w:b/>
      <w:sz w:val="14"/>
    </w:rPr>
  </w:style>
  <w:style w:type="character" w:styleId="Hyperlink">
    <w:name w:val="Hyperlink"/>
    <w:basedOn w:val="Standardskrifttypeiafsnit"/>
    <w:uiPriority w:val="22"/>
    <w:rsid w:val="002E3622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E3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62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2E3622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2E3622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2E3622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2E3622"/>
  </w:style>
  <w:style w:type="paragraph" w:styleId="Listeafsnit">
    <w:name w:val="List Paragraph"/>
    <w:basedOn w:val="Normal"/>
    <w:uiPriority w:val="99"/>
    <w:qFormat/>
    <w:rsid w:val="002E3622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2E362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E3622"/>
    <w:pPr>
      <w:spacing w:after="0" w:line="240" w:lineRule="auto"/>
    </w:pPr>
    <w:rPr>
      <w:rFonts w:ascii="Trebuchet MS" w:hAnsi="Trebuchet MS"/>
      <w:color w:val="676E4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E362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E362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E362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E3622"/>
    <w:pPr>
      <w:spacing w:after="0" w:line="240" w:lineRule="auto"/>
    </w:pPr>
    <w:rPr>
      <w:rFonts w:ascii="Trebuchet MS" w:hAnsi="Trebuchet MS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E3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E3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E3622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E3622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E3622"/>
    <w:pPr>
      <w:spacing w:after="0" w:line="240" w:lineRule="auto"/>
    </w:pPr>
    <w:rPr>
      <w:rFonts w:ascii="Trebuchet MS" w:hAnsi="Trebuchet MS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2E3622"/>
    <w:pPr>
      <w:spacing w:after="0" w:line="240" w:lineRule="auto"/>
    </w:pPr>
    <w:rPr>
      <w:rFonts w:ascii="Trebuchet MS" w:hAnsi="Trebuchet M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E3622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2E3622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E3622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E3622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E3622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E3622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E362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E3622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2E3622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E362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E3622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E3622"/>
  </w:style>
  <w:style w:type="paragraph" w:styleId="NormalWeb">
    <w:name w:val="Normal (Web)"/>
    <w:basedOn w:val="Normal"/>
    <w:uiPriority w:val="99"/>
    <w:semiHidden/>
    <w:unhideWhenUsed/>
    <w:rsid w:val="002E3622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E362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E3622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E362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E3622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2E3622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E362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E3622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E362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E362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E3622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E362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E362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E362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E362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2E362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E362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E3622"/>
  </w:style>
  <w:style w:type="character" w:customStyle="1" w:styleId="DatoTegn">
    <w:name w:val="Dato Tegn"/>
    <w:basedOn w:val="Standardskrifttypeiafsnit"/>
    <w:link w:val="Dato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E362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E36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E362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2E3622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E3622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E3622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E3622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E3622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E362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2E3622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E3622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E3622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E3622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E362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E362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E3622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E3622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2E3622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E3622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E3622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E3622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2E3622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2E36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E3622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2E3622"/>
  </w:style>
  <w:style w:type="character" w:styleId="Kommentarhenvisning">
    <w:name w:val="annotation reference"/>
    <w:basedOn w:val="Standardskrifttypeiafsnit"/>
    <w:uiPriority w:val="99"/>
    <w:semiHidden/>
    <w:unhideWhenUsed/>
    <w:rsid w:val="002E3622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E3622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2E3622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2E362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E3622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E3622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362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3622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2E3622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E3622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E3622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E3622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E3622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E3622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E3622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E3622"/>
    <w:pPr>
      <w:spacing w:line="240" w:lineRule="auto"/>
      <w:ind w:left="400" w:hanging="200"/>
    </w:pPr>
  </w:style>
  <w:style w:type="paragraph" w:customStyle="1" w:styleId="titel2">
    <w:name w:val="titel2"/>
    <w:basedOn w:val="Normal"/>
    <w:rsid w:val="002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2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2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2E3622"/>
  </w:style>
  <w:style w:type="paragraph" w:customStyle="1" w:styleId="stk2">
    <w:name w:val="stk2"/>
    <w:basedOn w:val="Normal"/>
    <w:rsid w:val="002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2E3622"/>
  </w:style>
  <w:style w:type="paragraph" w:customStyle="1" w:styleId="givet">
    <w:name w:val="givet"/>
    <w:basedOn w:val="Normal"/>
    <w:rsid w:val="002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0F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0F3C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1910</Characters>
  <Application>Microsoft Office Word</Application>
  <DocSecurity>0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6</cp:revision>
  <dcterms:created xsi:type="dcterms:W3CDTF">2023-04-20T11:25:00Z</dcterms:created>
  <dcterms:modified xsi:type="dcterms:W3CDTF">2023-04-27T13:57:00Z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