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B093" w14:textId="77777777" w:rsidR="00532A11" w:rsidRPr="00552789" w:rsidRDefault="00532A11" w:rsidP="00552789">
      <w:pPr>
        <w:spacing w:line="240" w:lineRule="auto"/>
        <w:rPr>
          <w:rFonts w:ascii="Questa-Regular" w:hAnsi="Questa-Regular"/>
        </w:rPr>
      </w:pPr>
    </w:p>
    <w:p w14:paraId="60A2E206" w14:textId="77777777" w:rsidR="00181CEC" w:rsidRPr="00552789" w:rsidRDefault="00181CEC" w:rsidP="00552789">
      <w:pPr>
        <w:spacing w:line="240" w:lineRule="auto"/>
        <w:rPr>
          <w:rFonts w:ascii="Questa-Regular" w:hAnsi="Questa-Regular" w:cs="Times New Roman"/>
        </w:rPr>
      </w:pPr>
    </w:p>
    <w:p w14:paraId="63C5EC39" w14:textId="3FE1B0FF" w:rsidR="00181CEC" w:rsidRPr="008F5C99" w:rsidRDefault="00181CEC" w:rsidP="00552789">
      <w:pPr>
        <w:spacing w:before="200" w:after="200" w:line="240" w:lineRule="auto"/>
        <w:jc w:val="center"/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</w:pPr>
      <w:r w:rsidRPr="008F5C99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Bekendtg</w:t>
      </w:r>
      <w:r w:rsidRPr="00076279">
        <w:rPr>
          <w:rFonts w:ascii="Questa-Regular" w:eastAsia="Times New Roman" w:hAnsi="Questa-Regular" w:cs="Times New Roman" w:hint="eastAsia"/>
          <w:color w:val="212529"/>
          <w:sz w:val="37"/>
          <w:szCs w:val="37"/>
          <w:lang w:eastAsia="da-DK"/>
        </w:rPr>
        <w:t>ø</w:t>
      </w:r>
      <w:r w:rsidRPr="008F5C99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relse </w:t>
      </w:r>
      <w:r w:rsidR="0024467A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 xml:space="preserve">for Færøerne </w:t>
      </w:r>
      <w:r w:rsidRPr="008F5C99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om uds</w:t>
      </w:r>
      <w:r w:rsidRPr="00076279">
        <w:rPr>
          <w:rFonts w:ascii="Questa-Regular" w:eastAsia="Times New Roman" w:hAnsi="Questa-Regular" w:cs="Times New Roman" w:hint="eastAsia"/>
          <w:color w:val="212529"/>
          <w:sz w:val="37"/>
          <w:szCs w:val="37"/>
          <w:lang w:eastAsia="da-DK"/>
        </w:rPr>
        <w:t>æ</w:t>
      </w:r>
      <w:r w:rsidRPr="008F5C99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ttelse med fuldbyrdelse af f</w:t>
      </w:r>
      <w:r w:rsidRPr="00076279">
        <w:rPr>
          <w:rFonts w:ascii="Questa-Regular" w:eastAsia="Times New Roman" w:hAnsi="Questa-Regular" w:cs="Times New Roman" w:hint="eastAsia"/>
          <w:color w:val="212529"/>
          <w:sz w:val="37"/>
          <w:szCs w:val="37"/>
          <w:lang w:eastAsia="da-DK"/>
        </w:rPr>
        <w:t>æ</w:t>
      </w:r>
      <w:r w:rsidRPr="008F5C99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ngselsstraf og den administrative behandling af sager om ben</w:t>
      </w:r>
      <w:r w:rsidRPr="00076279">
        <w:rPr>
          <w:rFonts w:ascii="Questa-Regular" w:eastAsia="Times New Roman" w:hAnsi="Questa-Regular" w:cs="Times New Roman" w:hint="eastAsia"/>
          <w:color w:val="212529"/>
          <w:sz w:val="37"/>
          <w:szCs w:val="37"/>
          <w:lang w:eastAsia="da-DK"/>
        </w:rPr>
        <w:t>å</w:t>
      </w:r>
      <w:r w:rsidRPr="008F5C99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dning (uds</w:t>
      </w:r>
      <w:r w:rsidRPr="00076279">
        <w:rPr>
          <w:rFonts w:ascii="Questa-Regular" w:eastAsia="Times New Roman" w:hAnsi="Questa-Regular" w:cs="Times New Roman" w:hint="eastAsia"/>
          <w:color w:val="212529"/>
          <w:sz w:val="37"/>
          <w:szCs w:val="37"/>
          <w:lang w:eastAsia="da-DK"/>
        </w:rPr>
        <w:t>æ</w:t>
      </w:r>
      <w:r w:rsidRPr="008F5C99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ttelses- og ben</w:t>
      </w:r>
      <w:r w:rsidRPr="00076279">
        <w:rPr>
          <w:rFonts w:ascii="Questa-Regular" w:eastAsia="Times New Roman" w:hAnsi="Questa-Regular" w:cs="Times New Roman" w:hint="eastAsia"/>
          <w:color w:val="212529"/>
          <w:sz w:val="37"/>
          <w:szCs w:val="37"/>
          <w:lang w:eastAsia="da-DK"/>
        </w:rPr>
        <w:t>å</w:t>
      </w:r>
      <w:r w:rsidRPr="008F5C99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dningsbekendtg</w:t>
      </w:r>
      <w:r w:rsidRPr="00076279">
        <w:rPr>
          <w:rFonts w:ascii="Questa-Regular" w:eastAsia="Times New Roman" w:hAnsi="Questa-Regular" w:cs="Times New Roman" w:hint="eastAsia"/>
          <w:color w:val="212529"/>
          <w:sz w:val="37"/>
          <w:szCs w:val="37"/>
          <w:lang w:eastAsia="da-DK"/>
        </w:rPr>
        <w:t>ø</w:t>
      </w:r>
      <w:r w:rsidRPr="008F5C99">
        <w:rPr>
          <w:rFonts w:ascii="Questa-Regular" w:eastAsia="Times New Roman" w:hAnsi="Questa-Regular" w:cs="Times New Roman"/>
          <w:color w:val="212529"/>
          <w:sz w:val="37"/>
          <w:szCs w:val="37"/>
          <w:lang w:eastAsia="da-DK"/>
        </w:rPr>
        <w:t>relsen)</w:t>
      </w:r>
    </w:p>
    <w:p w14:paraId="3B044410" w14:textId="4FD72E91" w:rsidR="000233A3" w:rsidRPr="00D32B6C" w:rsidRDefault="000233A3" w:rsidP="00D32B6C">
      <w:pPr>
        <w:pStyle w:val="indledning2"/>
        <w:spacing w:before="0" w:beforeAutospacing="0" w:after="0" w:afterAutospacing="0" w:line="300" w:lineRule="auto"/>
        <w:jc w:val="both"/>
        <w:rPr>
          <w:rFonts w:ascii="Questa-Regular" w:hAnsi="Questa-Regular"/>
          <w:color w:val="212529"/>
        </w:rPr>
      </w:pPr>
      <w:r w:rsidRPr="00D32B6C">
        <w:rPr>
          <w:rFonts w:ascii="Questa-Regular" w:hAnsi="Questa-Regular"/>
          <w:color w:val="212529"/>
        </w:rPr>
        <w:t xml:space="preserve">I medfør af § 11 og </w:t>
      </w:r>
      <w:r w:rsidR="00972D34" w:rsidRPr="00D32B6C">
        <w:rPr>
          <w:rFonts w:ascii="Questa-Regular" w:hAnsi="Questa-Regular"/>
          <w:color w:val="212529"/>
        </w:rPr>
        <w:t>§ 93, stk. 2</w:t>
      </w:r>
      <w:r w:rsidRPr="00D32B6C">
        <w:rPr>
          <w:rFonts w:ascii="Questa-Regular" w:hAnsi="Questa-Regular"/>
          <w:color w:val="212529"/>
        </w:rPr>
        <w:t xml:space="preserve">, i lov </w:t>
      </w:r>
      <w:r w:rsidR="00972D34" w:rsidRPr="00D32B6C">
        <w:rPr>
          <w:rFonts w:ascii="Questa-Regular" w:hAnsi="Questa-Regular"/>
          <w:color w:val="212529"/>
        </w:rPr>
        <w:t>nr. … af</w:t>
      </w:r>
      <w:r w:rsidR="00D32B6C">
        <w:rPr>
          <w:rFonts w:ascii="Questa-Regular" w:hAnsi="Questa-Regular"/>
          <w:color w:val="212529"/>
        </w:rPr>
        <w:t>…</w:t>
      </w:r>
      <w:r w:rsidR="00972D34" w:rsidRPr="00D32B6C">
        <w:rPr>
          <w:rFonts w:ascii="Questa-Regular" w:hAnsi="Questa-Regular"/>
          <w:color w:val="212529"/>
        </w:rPr>
        <w:t xml:space="preserve"> </w:t>
      </w:r>
      <w:r w:rsidRPr="00D32B6C">
        <w:rPr>
          <w:rFonts w:ascii="Questa-Regular" w:hAnsi="Questa-Regular"/>
          <w:color w:val="212529"/>
        </w:rPr>
        <w:t>for Færøerne om fuldbyrdelse af straf m.v., fastsættes:</w:t>
      </w:r>
    </w:p>
    <w:p w14:paraId="6AED86F8" w14:textId="77777777" w:rsidR="00181CEC" w:rsidRPr="00D32B6C" w:rsidRDefault="00181CEC" w:rsidP="00D32B6C">
      <w:pPr>
        <w:spacing w:before="400" w:after="100" w:line="300" w:lineRule="auto"/>
        <w:jc w:val="center"/>
        <w:rPr>
          <w:rFonts w:ascii="Questa-Regular" w:eastAsia="Times New Roman" w:hAnsi="Questa-Regular" w:cs="Segoe UI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Segoe UI"/>
          <w:color w:val="212529"/>
          <w:sz w:val="24"/>
          <w:szCs w:val="24"/>
          <w:lang w:eastAsia="da-DK"/>
        </w:rPr>
        <w:t>Kapitel 1</w:t>
      </w:r>
    </w:p>
    <w:p w14:paraId="355FBE72" w14:textId="77777777" w:rsidR="00181CEC" w:rsidRPr="00D32B6C" w:rsidRDefault="00181CEC" w:rsidP="00D32B6C">
      <w:pPr>
        <w:spacing w:after="100" w:line="300" w:lineRule="auto"/>
        <w:jc w:val="center"/>
        <w:rPr>
          <w:rFonts w:ascii="Questa-Regular" w:eastAsia="Times New Roman" w:hAnsi="Questa-Regular" w:cs="Segoe UI"/>
          <w:i/>
          <w:iCs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Segoe UI"/>
          <w:i/>
          <w:iCs/>
          <w:color w:val="212529"/>
          <w:sz w:val="24"/>
          <w:szCs w:val="24"/>
          <w:lang w:eastAsia="da-DK"/>
        </w:rPr>
        <w:t>Udsættelse med fuldbyrdelse af fængselsstraf</w:t>
      </w:r>
    </w:p>
    <w:p w14:paraId="3519FA0D" w14:textId="77777777" w:rsidR="00181CEC" w:rsidRPr="00D32B6C" w:rsidRDefault="00181CEC" w:rsidP="00D32B6C">
      <w:pPr>
        <w:spacing w:before="300" w:after="100" w:line="300" w:lineRule="auto"/>
        <w:jc w:val="center"/>
        <w:rPr>
          <w:rFonts w:ascii="Questa-Regular" w:eastAsia="Times New Roman" w:hAnsi="Questa-Regular" w:cs="Segoe UI"/>
          <w:i/>
          <w:iCs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Segoe UI"/>
          <w:i/>
          <w:iCs/>
          <w:color w:val="212529"/>
          <w:sz w:val="24"/>
          <w:szCs w:val="24"/>
          <w:lang w:eastAsia="da-DK"/>
        </w:rPr>
        <w:t>Behandling af en ansøgning om udsættelse</w:t>
      </w:r>
    </w:p>
    <w:p w14:paraId="256B89D8" w14:textId="68DFD166" w:rsidR="00155D49" w:rsidRPr="00D32B6C" w:rsidRDefault="00181CEC" w:rsidP="00D32B6C">
      <w:pPr>
        <w:pStyle w:val="Kommentartekst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6C">
        <w:rPr>
          <w:rFonts w:ascii="Times New Roman" w:eastAsia="Times New Roman" w:hAnsi="Times New Roman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da-DK"/>
        </w:rPr>
        <w:t>1.</w:t>
      </w:r>
      <w:r w:rsidRPr="00D32B6C">
        <w:rPr>
          <w:rFonts w:ascii="Times New Roman" w:eastAsia="Times New Roman" w:hAnsi="Times New Roman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>Afg</w:t>
      </w:r>
      <w:r w:rsidRPr="00D32B6C">
        <w:rPr>
          <w:rFonts w:ascii="Times New Roman" w:eastAsia="Times New Roman" w:hAnsi="Times New Roman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>relse om uds</w:t>
      </w:r>
      <w:r w:rsidRPr="00D32B6C">
        <w:rPr>
          <w:rFonts w:ascii="Times New Roman" w:eastAsia="Times New Roman" w:hAnsi="Times New Roman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>ttelse tr</w:t>
      </w:r>
      <w:r w:rsidRPr="00D32B6C">
        <w:rPr>
          <w:rFonts w:ascii="Times New Roman" w:eastAsia="Times New Roman" w:hAnsi="Times New Roman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>ffes af det kriminalforsorgsomr</w:t>
      </w:r>
      <w:r w:rsidRPr="00D32B6C">
        <w:rPr>
          <w:rFonts w:ascii="Times New Roman" w:eastAsia="Times New Roman" w:hAnsi="Times New Roman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>de</w:t>
      </w:r>
      <w:r w:rsidR="0007309A"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>,</w:t>
      </w:r>
      <w:r w:rsidR="002F0B61"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 xml:space="preserve"> hvor</w:t>
      </w:r>
      <w:r w:rsidR="00EE34B6"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 xml:space="preserve">under </w:t>
      </w:r>
      <w:r w:rsidR="002F0B61"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>Kriminalforsorgen p</w:t>
      </w:r>
      <w:r w:rsidR="002F0B61" w:rsidRPr="00D32B6C">
        <w:rPr>
          <w:rFonts w:ascii="Times New Roman" w:eastAsia="Times New Roman" w:hAnsi="Times New Roman" w:cs="Times New Roman" w:hint="eastAsia"/>
          <w:color w:val="212529"/>
          <w:sz w:val="24"/>
          <w:szCs w:val="24"/>
          <w:lang w:eastAsia="da-DK"/>
        </w:rPr>
        <w:t>å</w:t>
      </w:r>
      <w:r w:rsidR="002F0B61"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 xml:space="preserve"> F</w:t>
      </w:r>
      <w:r w:rsidR="002F0B61" w:rsidRPr="00D32B6C">
        <w:rPr>
          <w:rFonts w:ascii="Times New Roman" w:eastAsia="Times New Roman" w:hAnsi="Times New Roman" w:cs="Times New Roman" w:hint="eastAsia"/>
          <w:color w:val="212529"/>
          <w:sz w:val="24"/>
          <w:szCs w:val="24"/>
          <w:lang w:eastAsia="da-DK"/>
        </w:rPr>
        <w:t>æ</w:t>
      </w:r>
      <w:r w:rsidR="002F0B61"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>r</w:t>
      </w:r>
      <w:r w:rsidR="00EE34B6" w:rsidRPr="00D32B6C">
        <w:rPr>
          <w:rFonts w:ascii="Times New Roman" w:eastAsia="Times New Roman" w:hAnsi="Times New Roman" w:cs="Times New Roman" w:hint="eastAsia"/>
          <w:color w:val="212529"/>
          <w:sz w:val="24"/>
          <w:szCs w:val="24"/>
          <w:lang w:eastAsia="da-DK"/>
        </w:rPr>
        <w:t>ø</w:t>
      </w:r>
      <w:r w:rsidR="00EE34B6"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>erne h</w:t>
      </w:r>
      <w:r w:rsidR="00EE34B6" w:rsidRPr="00D32B6C">
        <w:rPr>
          <w:rFonts w:ascii="Times New Roman" w:eastAsia="Times New Roman" w:hAnsi="Times New Roman" w:cs="Times New Roman" w:hint="eastAsia"/>
          <w:color w:val="212529"/>
          <w:sz w:val="24"/>
          <w:szCs w:val="24"/>
          <w:lang w:eastAsia="da-DK"/>
        </w:rPr>
        <w:t>ø</w:t>
      </w:r>
      <w:r w:rsidR="00EE34B6"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>rer</w:t>
      </w:r>
      <w:r w:rsidR="00B73F09"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>, jf. dog stk. 2.</w:t>
      </w:r>
      <w:r w:rsidR="000D7DFE" w:rsidRPr="00D32B6C"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  <w:t xml:space="preserve">  </w:t>
      </w:r>
    </w:p>
    <w:p w14:paraId="036092EA" w14:textId="6D711D87" w:rsidR="00181CEC" w:rsidRPr="00D32B6C" w:rsidRDefault="00181CEC" w:rsidP="00D32B6C">
      <w:pPr>
        <w:pStyle w:val="Kommentartekst"/>
        <w:spacing w:after="0" w:line="300" w:lineRule="auto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sz w:val="24"/>
          <w:szCs w:val="24"/>
          <w:lang w:eastAsia="da-DK"/>
        </w:rPr>
        <w:t>Stk. 2.</w:t>
      </w:r>
      <w:r w:rsidRPr="00D32B6C">
        <w:rPr>
          <w:rFonts w:ascii="Questa-Regular" w:eastAsia="Times New Roman" w:hAnsi="Questa-Regular" w:cs="Times New Roman" w:hint="eastAsia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sz w:val="24"/>
          <w:szCs w:val="24"/>
          <w:lang w:eastAsia="da-DK"/>
        </w:rPr>
        <w:t>Afg</w:t>
      </w:r>
      <w:r w:rsidRPr="00D32B6C">
        <w:rPr>
          <w:rFonts w:ascii="Questa-Regular" w:eastAsia="Times New Roman" w:hAnsi="Questa-Regular" w:cs="Times New Roman" w:hint="eastAsia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sz w:val="24"/>
          <w:szCs w:val="24"/>
          <w:lang w:eastAsia="da-DK"/>
        </w:rPr>
        <w:t>relse om uds</w:t>
      </w:r>
      <w:r w:rsidRPr="00D32B6C">
        <w:rPr>
          <w:rFonts w:ascii="Questa-Regular" w:eastAsia="Times New Roman" w:hAnsi="Questa-Regular" w:cs="Times New Roman" w:hint="eastAsia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sz w:val="24"/>
          <w:szCs w:val="24"/>
          <w:lang w:eastAsia="da-DK"/>
        </w:rPr>
        <w:t>ttelse tr</w:t>
      </w:r>
      <w:r w:rsidRPr="00D32B6C">
        <w:rPr>
          <w:rFonts w:ascii="Questa-Regular" w:eastAsia="Times New Roman" w:hAnsi="Questa-Regular" w:cs="Times New Roman" w:hint="eastAsia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sz w:val="24"/>
          <w:szCs w:val="24"/>
          <w:lang w:eastAsia="da-DK"/>
        </w:rPr>
        <w:t>ffes af Direktoratet for Kriminalforsorgen efter indstilling fra</w:t>
      </w:r>
      <w:r w:rsidR="00366BAA" w:rsidRPr="00D32B6C">
        <w:rPr>
          <w:rFonts w:ascii="Questa-Regular" w:eastAsia="Times New Roman" w:hAnsi="Questa-Regular" w:cs="Times New Roman"/>
          <w:sz w:val="24"/>
          <w:szCs w:val="24"/>
          <w:lang w:eastAsia="da-DK"/>
        </w:rPr>
        <w:t xml:space="preserve">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kriminalforsorgsomr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</w:t>
      </w:r>
      <w:r w:rsidR="00FB3112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</w:t>
      </w:r>
      <w:r w:rsidR="00707646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="00FB3112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jf. stk. 1</w:t>
      </w:r>
      <w:r w:rsidR="00155D49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,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hvis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samtidig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ger om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dning, eller der bliver sp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rgsm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 om forel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big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med henblik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eventuel efterf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lgende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 eller om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indtil videre.</w:t>
      </w:r>
    </w:p>
    <w:p w14:paraId="2AF0DAD9" w14:textId="21BD8805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3.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Sp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rgsm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 om tilbagekaldelse af en tilladelse til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behandles af kriminalforsorgsomr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</w:t>
      </w:r>
      <w:r w:rsidR="00FB3112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</w:t>
      </w:r>
      <w:r w:rsidR="00D9185C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, jf. stk. 1</w:t>
      </w:r>
      <w:r w:rsidR="00107F3E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.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Tilbagekaldelse af en forel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big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med henblik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eventuel efterf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lgende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 skal dog forel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gges for Direktoratet for Kriminalforsorgen til 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relse.</w:t>
      </w:r>
    </w:p>
    <w:p w14:paraId="75088761" w14:textId="6EC18DAE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4.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 om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med at fuldbyrde forvandlingsstraf for b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</w:t>
      </w:r>
      <w:r w:rsidR="00D6266D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behandles i overensstemmelse med reglerne i b</w:t>
      </w:r>
      <w:r w:rsidR="00D6266D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="00D6266D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debekendtg</w:t>
      </w:r>
      <w:r w:rsidR="00D6266D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="00D6266D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relsens kapitel 3 om henstand med betaling af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b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den.</w:t>
      </w:r>
    </w:p>
    <w:p w14:paraId="633E7831" w14:textId="77777777" w:rsidR="00E84E35" w:rsidRPr="00D32B6C" w:rsidRDefault="006C11CD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color w:val="212529"/>
          <w:sz w:val="24"/>
          <w:szCs w:val="24"/>
          <w:lang w:eastAsia="da-DK"/>
        </w:rPr>
        <w:t xml:space="preserve"> Stk. 5 </w:t>
      </w:r>
      <w:r w:rsidR="00E84E35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Ans</w:t>
      </w:r>
      <w:r w:rsidR="00E84E35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="00E84E35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 om uds</w:t>
      </w:r>
      <w:r w:rsidR="00E84E35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="00E84E35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fra d</w:t>
      </w:r>
      <w:r w:rsidR="00E84E35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="00E84E35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mte, der er varet</w:t>
      </w:r>
      <w:r w:rsidR="00E84E35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="00E84E35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gtsf</w:t>
      </w:r>
      <w:r w:rsidR="00E84E35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="00E84E35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ngslet efter endelig dom, indtil straffuldbyrdelsen kan iv</w:t>
      </w:r>
      <w:r w:rsidR="00E84E35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="00E84E35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rks</w:t>
      </w:r>
      <w:r w:rsidR="00E84E35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="00E84E35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ttes, er ikke omfattet af reglerne om uds</w:t>
      </w:r>
      <w:r w:rsidR="00E84E35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="00E84E35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ttelse. L</w:t>
      </w:r>
      <w:r w:rsidR="00E84E35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="00E84E35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sladelse kan i givet fald kun ske efter politiets eller rettens bestemmelse i medf</w:t>
      </w:r>
      <w:r w:rsidR="00E84E35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="00E84E35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af retsplejelovens regler om varet</w:t>
      </w:r>
      <w:r w:rsidR="00E84E35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="00E84E35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gtsf</w:t>
      </w:r>
      <w:r w:rsidR="00E84E35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="00E84E35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ngsling. </w:t>
      </w:r>
    </w:p>
    <w:p w14:paraId="6E95D5A0" w14:textId="587A2012" w:rsidR="00E84E35" w:rsidRPr="00D32B6C" w:rsidRDefault="001B0723" w:rsidP="00D32B6C">
      <w:pPr>
        <w:tabs>
          <w:tab w:val="left" w:pos="4335"/>
        </w:tabs>
        <w:spacing w:after="0" w:line="300" w:lineRule="auto"/>
        <w:ind w:firstLine="240"/>
        <w:rPr>
          <w:rFonts w:ascii="Questa-Regular" w:eastAsia="Times New Roman" w:hAnsi="Questa-Regular" w:cs="Times New Roman"/>
          <w:i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color w:val="212529"/>
          <w:sz w:val="24"/>
          <w:szCs w:val="24"/>
          <w:lang w:eastAsia="da-DK"/>
        </w:rPr>
        <w:tab/>
      </w:r>
    </w:p>
    <w:p w14:paraId="05315590" w14:textId="77777777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2.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Tilladelse til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betinges af, at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ikke beg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strafbart forhold, ligesom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endvidere kan betinges af, at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mte i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vrigt overholder fastsatte vilk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r, herunder undergiver sig tilsyn af kriminalforsorgen, jf. straffuldbyrdelseslovens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13, stk. 1.</w:t>
      </w:r>
    </w:p>
    <w:p w14:paraId="50AC214B" w14:textId="77777777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2.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ttelsen skal v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 begr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nset til et bestemt tidsrum (uds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ttelsesperioden), jf. dog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4</w:t>
      </w:r>
      <w:r w:rsidR="000233A3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, stk. 1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. Hvis en tilladelse til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medf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rer, at en del af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ngselsstraffen fuldbyrdes 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rskilt (opdeling), skal tilladelsen indeholde oplysning om varigheden af den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rste del af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ngselsstraffen.</w:t>
      </w:r>
    </w:p>
    <w:p w14:paraId="76862BFC" w14:textId="77777777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lastRenderedPageBreak/>
        <w:t>Stk. 3.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gives enten til det tidspunkt efter udl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bet af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ttelsesperioden, hvor pladsforholdene i afsoningsinstitutionen tillader, at indkaldelse til afsoning finder sted, eller til en bestemt dato, men kun hvis ganske 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rlige hensyn taler derfor.</w:t>
      </w:r>
    </w:p>
    <w:p w14:paraId="14525869" w14:textId="77777777" w:rsidR="00181CEC" w:rsidRPr="00D32B6C" w:rsidRDefault="00181CEC" w:rsidP="00D32B6C">
      <w:pPr>
        <w:spacing w:before="300" w:after="100" w:line="30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Uds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ttelse i s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rlige tilf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lde</w:t>
      </w:r>
    </w:p>
    <w:p w14:paraId="36168358" w14:textId="77777777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3.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Direktoratet for Kriminalforsorgen kan med henblik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eventuel efterf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lgende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 forel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bigt tillade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ttelse, jf.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1, stk. 2. Inden der tr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ffes 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 om sp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rgsm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let om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ttelse, skal der indhentes de udtalelser, som er 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vnt i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10, stk. 2 og 5.</w:t>
      </w:r>
    </w:p>
    <w:p w14:paraId="18B9A096" w14:textId="6D2079C1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2.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 om, at straffuldbyrdelsen forel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bigt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ttes som 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vnt i stk. 1, skal snarest muligt forkyndes for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ved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="001B0723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kriminalforsorgsområdets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foranstaltning. Samtidig vejledes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udf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rligt om 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relsens betydning, herunder om forst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elsen af de fastsatte vilk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og om virkningen af vilk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rsovertr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delser.</w:t>
      </w:r>
    </w:p>
    <w:p w14:paraId="24525743" w14:textId="36439967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3.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Ca. 6 uger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ttelsesperiodens udl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b skal </w:t>
      </w:r>
      <w:r w:rsidR="00EB3B5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kriminalforsorgsomr</w:t>
      </w:r>
      <w:r w:rsidR="00EB3B5A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="00EB3B5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det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afgive en afsluttende udtalelse til Direktoratet for Kriminalforsorgen om forl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bet af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ttelsen.</w:t>
      </w:r>
    </w:p>
    <w:p w14:paraId="05EA64BC" w14:textId="4FE6AECC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4.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Direktoratet for Kriminalforsorgen kan bestemme, at fuldbyrdelsen af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ngselsstraf indtil videre skal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ttes, hvis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mte er ramt af en alvorlig lidelse, jf.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1, stk. 2. Inden 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relsen af sp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rgsm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let om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skal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det kriminalforsorgsområde, hvorunder Kriminalforsorgen på Færøerne hører,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og 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landfogeden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afgive udtalelser, jf.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10, stk. 2.</w:t>
      </w:r>
    </w:p>
    <w:p w14:paraId="0C27270A" w14:textId="77777777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2.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 om, hvorn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ngselsstraffen kan fuldbyrdes, tr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ffes af Direktoratet for Kriminalforsorgen.</w:t>
      </w:r>
    </w:p>
    <w:p w14:paraId="55115A96" w14:textId="77777777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3.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Inden der tr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ffes 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 om, at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ngselsstraffen kan fuldbyrdes som 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vnt i stk. 2, indhentes en l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gelig udtalelse.</w:t>
      </w:r>
    </w:p>
    <w:p w14:paraId="15CD0FED" w14:textId="50985D6C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4.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Stk. 2</w:t>
      </w:r>
      <w:r w:rsidR="005E1ECA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og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3 finder tilsvarende anvendelse for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mte, som i anledning af dommen undergives frihedsber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vende foranstaltninger efter straffelovens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73, indtil straffen m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 kunne fuldbyrdes.</w:t>
      </w:r>
    </w:p>
    <w:p w14:paraId="76E8ABFE" w14:textId="77777777" w:rsidR="00181CEC" w:rsidRPr="00D32B6C" w:rsidRDefault="00181CEC" w:rsidP="00D32B6C">
      <w:pPr>
        <w:spacing w:before="400" w:after="100" w:line="300" w:lineRule="auto"/>
        <w:jc w:val="center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Kapitel 2</w:t>
      </w:r>
    </w:p>
    <w:p w14:paraId="571B389E" w14:textId="77777777" w:rsidR="00181CEC" w:rsidRPr="00D32B6C" w:rsidRDefault="00181CEC" w:rsidP="00D32B6C">
      <w:pPr>
        <w:spacing w:after="100" w:line="30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Ops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ttende virkning</w:t>
      </w:r>
    </w:p>
    <w:p w14:paraId="4A57DD4A" w14:textId="77777777" w:rsidR="00181CEC" w:rsidRPr="00D32B6C" w:rsidRDefault="00181CEC" w:rsidP="00D32B6C">
      <w:pPr>
        <w:spacing w:before="300" w:after="100" w:line="30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Ops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ttende virkning af ans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gning om uds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ttelse eller ben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dning</w:t>
      </w:r>
    </w:p>
    <w:p w14:paraId="27D13C32" w14:textId="14782936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5.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Fuldbyrdelsen af en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ngselsstraf skal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ttes, 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fri fod rettidigt, jf. stk. 2 og 3, indgiver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 om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eller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dning, jf. straffuldbyrdelseslovens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12, stk. 1, </w:t>
      </w:r>
      <w:r w:rsidR="00AA164C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eller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</w:t>
      </w:r>
      <w:r w:rsidR="00164BE3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en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till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gges ops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ttende virkning efter straffuldbyrdelseslovens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12, stk. 2.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gningen har kun ops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ttende virkning, indtil der er truffet 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 om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eller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dning.</w:t>
      </w:r>
    </w:p>
    <w:p w14:paraId="20FF1B9D" w14:textId="20C3509E" w:rsidR="000233A3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2.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En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 er indgivet rettidigt, hvis vedkommende kriminalforsorgsmyndighed har modtaget den senest 20 dage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datoen for fremm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 til udst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else af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ngselsstraf, jf. dog stk. 3. </w:t>
      </w:r>
    </w:p>
    <w:p w14:paraId="3EAD3AE8" w14:textId="77777777" w:rsidR="00181CEC" w:rsidRPr="00D32B6C" w:rsidRDefault="00181CEC" w:rsidP="00D32B6C">
      <w:pPr>
        <w:spacing w:after="0" w:line="300" w:lineRule="auto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3.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gningen skal v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 modtaget senest 7 dage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datoen for fremm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de, hvis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</w:t>
      </w:r>
    </w:p>
    <w:p w14:paraId="16B9A0FD" w14:textId="37481174" w:rsidR="00181CEC" w:rsidRPr="00D32B6C" w:rsidRDefault="00181CEC" w:rsidP="00D32B6C">
      <w:pPr>
        <w:spacing w:after="0" w:line="300" w:lineRule="auto"/>
        <w:ind w:left="-17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lastRenderedPageBreak/>
        <w:t>1)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i hovedforholdet i dommen er straffet for en overtr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delse af straffelovens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119-121,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123,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180-182,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210,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213,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215, kapitel 24 (seksualforbrydelser), kapitel 25 (forbrydelser mod liv og legeme), kapitel 26 (forbrydelser mod den personlige frihed),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266,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266 a og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288,</w:t>
      </w:r>
    </w:p>
    <w:p w14:paraId="6A61C10E" w14:textId="77777777" w:rsidR="00181CEC" w:rsidRPr="00D32B6C" w:rsidRDefault="00181CEC" w:rsidP="00D32B6C">
      <w:pPr>
        <w:spacing w:after="0" w:line="300" w:lineRule="auto"/>
        <w:ind w:left="-17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2)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i forbindelse med betinget dom med vilk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r om samfundstjeneste efter straffelovens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64 er id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 ubetinget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ngselsstraf,</w:t>
      </w:r>
    </w:p>
    <w:p w14:paraId="43382A4D" w14:textId="77777777" w:rsidR="00181CEC" w:rsidRPr="00D32B6C" w:rsidRDefault="00181CEC" w:rsidP="00D32B6C">
      <w:pPr>
        <w:spacing w:after="0" w:line="300" w:lineRule="auto"/>
        <w:ind w:left="-17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3)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har overtr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dt vilk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for betinget dom, herunder vilk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om samfundstjeneste, og der i den anledning er truffet 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 om ubetinget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ngselsstraf,</w:t>
      </w:r>
    </w:p>
    <w:p w14:paraId="243FA079" w14:textId="18BDA741" w:rsidR="00181CEC" w:rsidRPr="00D32B6C" w:rsidRDefault="000233A3" w:rsidP="00D32B6C">
      <w:pPr>
        <w:spacing w:after="0" w:line="300" w:lineRule="auto"/>
        <w:ind w:left="-17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4</w:t>
      </w:r>
      <w:r w:rsidR="00181CEC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)</w:t>
      </w:r>
      <w:r w:rsidR="00181CEC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="00181CEC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i forbindelse med en tidligere afsoning er udeblevet efter tilsigelse til afsoning uden lovlig grund og inden for et tidsrum af 2 </w:t>
      </w:r>
      <w:r w:rsidR="00181CEC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="00181CEC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efter l</w:t>
      </w:r>
      <w:r w:rsidR="00181CEC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="00181CEC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sladelse fra den tidligere afsoning p</w:t>
      </w:r>
      <w:r w:rsidR="00181CEC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="00181CEC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ny er id</w:t>
      </w:r>
      <w:r w:rsidR="00181CEC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="00181CEC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 f</w:t>
      </w:r>
      <w:r w:rsidR="00181CEC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="00181CEC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ngselsstraf,</w:t>
      </w:r>
      <w:r w:rsidR="00E0070F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eller</w:t>
      </w:r>
    </w:p>
    <w:p w14:paraId="58C9CC12" w14:textId="42BE480D" w:rsidR="00181CEC" w:rsidRPr="00D32B6C" w:rsidRDefault="00511512" w:rsidP="00D32B6C">
      <w:pPr>
        <w:spacing w:after="0" w:line="300" w:lineRule="auto"/>
        <w:ind w:left="-17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5</w:t>
      </w:r>
      <w:r w:rsidR="00181CEC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)</w:t>
      </w:r>
      <w:r w:rsidR="00181CEC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="00181CEC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er indkaldt til fuldbyrdelse af forvandlingsstraf for b</w:t>
      </w:r>
      <w:r w:rsidR="00181CEC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="00181CEC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de.</w:t>
      </w:r>
    </w:p>
    <w:p w14:paraId="50A6BE7B" w14:textId="50CD4919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6.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Tager</w:t>
      </w:r>
      <w:r w:rsidR="004436B9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landfogeden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eller 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det kriminalforsorgsområde, hvorunder Kriminalforsorgen på Færøerne hører,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sp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rgsm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 om eventuel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dning efter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15 op, skal straffuldbyrdelsen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ttes.</w:t>
      </w:r>
    </w:p>
    <w:p w14:paraId="27E65CC3" w14:textId="77777777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7.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Indgives der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 om fritagelse for at udst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forvandlingsstraf for b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grund af den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ldendes helbredsforhold, jf.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16, skal fuldbyrdelsen af forvandlingsstraffen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ttes.</w:t>
      </w:r>
    </w:p>
    <w:p w14:paraId="4B8163C7" w14:textId="77777777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2.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Har den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ldende tidligere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et afslag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en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 om fritagelse, skal straffuldbyrdelsen dog kun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ttes, hvis den nye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 indeholder v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sentlige nye oplysninger, hvis rigtighed 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vidt muligt er godtgjort, eller der i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vrigt er 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rlig grund til at afvente 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relsen af den nye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gning.</w:t>
      </w:r>
    </w:p>
    <w:p w14:paraId="3DDDB950" w14:textId="77777777" w:rsidR="00181CEC" w:rsidRPr="00D32B6C" w:rsidRDefault="00181CEC" w:rsidP="00D32B6C">
      <w:pPr>
        <w:spacing w:before="300" w:after="100" w:line="30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Ops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ttende virkning af ans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gning om genoptagelse</w:t>
      </w:r>
    </w:p>
    <w:p w14:paraId="7E1AFABD" w14:textId="774060C6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8.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Indgives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 om genoptagelse, skal straffuldbyrdelsen kun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ttes, hvis Den </w:t>
      </w:r>
      <w:r w:rsidR="00707646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rlige Klageret bestemmer det, jf. retsplejelovens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§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="00D547E8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1011.</w:t>
      </w:r>
    </w:p>
    <w:p w14:paraId="6C122C34" w14:textId="5410F55F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2.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en person, som er id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 frihedsstraf ved finsk, islandsk, norsk eller svensk domstol, efter lov om samarbejde med Finland, Island, Norge eller Sverige ang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ende fuldbyrdelse af straf m.v. har beg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ret sp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rgsm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let om lovligheden af en 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relse om fuldbyrdelse </w:t>
      </w:r>
      <w:r w:rsidR="0068456B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på Færøerne i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ndbragt for retten, skal fuldbyrdelsen kun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ttes, hvis retten bestemmer det.</w:t>
      </w:r>
    </w:p>
    <w:p w14:paraId="1036B75C" w14:textId="77777777" w:rsidR="00181CEC" w:rsidRPr="00D32B6C" w:rsidRDefault="00181CEC" w:rsidP="00D32B6C">
      <w:pPr>
        <w:spacing w:before="300" w:after="100" w:line="30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Ops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ttende virkning i s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rlige tilf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lde</w:t>
      </w:r>
    </w:p>
    <w:p w14:paraId="0EFB998D" w14:textId="11C639B6" w:rsidR="00F06C99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9.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Direktoratet for Kriminalforsorgen kan i andre tilf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lde, hvor 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rlige omst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ndigheder taler for det, bestemme, at straffuldbyrdelsen midlertidigt skal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ttes.</w:t>
      </w:r>
    </w:p>
    <w:p w14:paraId="2755DB3E" w14:textId="77777777" w:rsidR="00003076" w:rsidRPr="00D32B6C" w:rsidRDefault="00181CEC" w:rsidP="00D32B6C">
      <w:pPr>
        <w:spacing w:before="400" w:after="100" w:line="300" w:lineRule="auto"/>
        <w:jc w:val="center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Kapitel 3</w:t>
      </w:r>
    </w:p>
    <w:p w14:paraId="23C89C10" w14:textId="77777777" w:rsidR="00181CEC" w:rsidRPr="00D32B6C" w:rsidRDefault="00181CEC" w:rsidP="00D32B6C">
      <w:pPr>
        <w:spacing w:after="100" w:line="30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Behandling af ans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gning om ben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dning</w:t>
      </w:r>
    </w:p>
    <w:p w14:paraId="6217D0AD" w14:textId="14D9D733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10.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Er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fri fod, indgives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 om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 til</w:t>
      </w:r>
      <w:r w:rsidR="00595F70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det kriminalforsorgsområde, hvorunder Kriminalforsorgen på Færøerne</w:t>
      </w:r>
      <w:r w:rsidR="00EE34B6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hører</w:t>
      </w:r>
      <w:r w:rsidR="002238A7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, jf. </w:t>
      </w:r>
      <w:r w:rsidR="00D55FF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§ 1, </w:t>
      </w:r>
      <w:r w:rsidR="002238A7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stk. 1.</w:t>
      </w:r>
    </w:p>
    <w:p w14:paraId="46AD65E6" w14:textId="72B39CBD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lastRenderedPageBreak/>
        <w:t>Stk. 2.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="00FB3112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K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riminalforsorgsomr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</w:t>
      </w:r>
      <w:r w:rsidR="00FB3112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indhenter en udtalelse fra 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landfogeden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og afgiver en indstilling til Direktoratet for Kriminalforsorgen om, hvorvidt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b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des.</w:t>
      </w:r>
    </w:p>
    <w:p w14:paraId="052AF55C" w14:textId="1F1E5616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3.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="00FB3112" w:rsidRPr="00D32B6C">
        <w:rPr>
          <w:rFonts w:ascii="Questa-Regular" w:eastAsia="Times New Roman" w:hAnsi="Questa-Regular" w:cs="Times New Roman"/>
          <w:color w:val="000000" w:themeColor="text1"/>
          <w:sz w:val="24"/>
          <w:szCs w:val="24"/>
          <w:lang w:eastAsia="da-DK"/>
        </w:rPr>
        <w:t>K</w:t>
      </w:r>
      <w:r w:rsidR="00D55FFA" w:rsidRPr="00D32B6C">
        <w:rPr>
          <w:rFonts w:ascii="Questa-Regular" w:eastAsia="Times New Roman" w:hAnsi="Questa-Regular" w:cs="Times New Roman"/>
          <w:color w:val="000000" w:themeColor="text1"/>
          <w:sz w:val="24"/>
          <w:szCs w:val="24"/>
          <w:lang w:eastAsia="da-DK"/>
        </w:rPr>
        <w:t>rim</w:t>
      </w:r>
      <w:r w:rsidR="00D55FF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inalforsorgsområde</w:t>
      </w:r>
      <w:r w:rsidR="00FB3112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</w:t>
      </w:r>
      <w:r w:rsidR="008805F2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indkalder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til en samtale, medmindre det efter indholdet af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gningen ikke er 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dvendigt.</w:t>
      </w:r>
    </w:p>
    <w:p w14:paraId="5C1384DD" w14:textId="77777777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4.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skal opfordres til at oplyse, om fuldbyrdelsen af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ngselsstraffen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nskes udsat, hvis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gningen afsl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s.</w:t>
      </w:r>
    </w:p>
    <w:p w14:paraId="73DD0632" w14:textId="77777777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5.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Der kan indhentes en udtalelse fra retten eller statsadvokaten.</w:t>
      </w:r>
    </w:p>
    <w:p w14:paraId="0143AC4C" w14:textId="6354DFBC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11.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Udst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ngselsstraf i </w:t>
      </w:r>
      <w:r w:rsidR="00FE133D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F</w:t>
      </w:r>
      <w:r w:rsidR="00FE133D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="00FE133D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</w:t>
      </w:r>
      <w:r w:rsidR="00FE133D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="00FE133D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erne A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rrest, indgives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 om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dning til 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det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kriminalforsorgsomr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, hvorunder Kriminalforsorgen p</w:t>
      </w:r>
      <w:r w:rsidR="00366BAA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F</w:t>
      </w:r>
      <w:r w:rsidR="00366BAA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</w:t>
      </w:r>
      <w:r w:rsidR="00366BAA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erne h</w:t>
      </w:r>
      <w:r w:rsidR="00366BAA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rer</w:t>
      </w:r>
      <w:r w:rsidR="00FA512E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.</w:t>
      </w:r>
    </w:p>
    <w:p w14:paraId="1C35841A" w14:textId="4F034772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2.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Kriminalforsorgsomr</w:t>
      </w:r>
      <w:r w:rsidR="00366BAA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de, hvorunder Kriminalforsorgen p</w:t>
      </w:r>
      <w:r w:rsidR="00366BAA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F</w:t>
      </w:r>
      <w:r w:rsidR="00366BAA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</w:t>
      </w:r>
      <w:r w:rsidR="00366BAA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erne h</w:t>
      </w:r>
      <w:r w:rsidR="00366BAA"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rer,</w:t>
      </w:r>
      <w:r w:rsidR="00366BAA" w:rsidRPr="00D32B6C" w:rsidDel="00366BAA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afgiver en indstilling til Direktoratet for Kriminalforsorgen om, hvorvidt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 b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gives.</w:t>
      </w:r>
    </w:p>
    <w:p w14:paraId="4C199E88" w14:textId="77777777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3.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Ved behandlingen af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gningen om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 finder reglerne om behandlingen af sager om pr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vel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sladelse tilsvarende anvendelse.</w:t>
      </w:r>
    </w:p>
    <w:p w14:paraId="0DE39885" w14:textId="77777777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12.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 om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 tr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ffes af Direktoratet for Kriminalforsorgen, i det omfang der er givet bemyndigelse hertil.</w:t>
      </w:r>
    </w:p>
    <w:p w14:paraId="6F5EDEA9" w14:textId="77777777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2.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 om afslag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 tr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ffes af Direktoratet for Kriminalforsorgen.</w:t>
      </w:r>
    </w:p>
    <w:p w14:paraId="2590EA04" w14:textId="77777777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13.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Direktoratet for Kriminalforsorgen kan bestemme, at det er en foruds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tning for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dning, at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forinden betaler en b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de.</w:t>
      </w:r>
    </w:p>
    <w:p w14:paraId="436E4F3B" w14:textId="77777777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14.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 betinges i almindelighed af, at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i en pr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vetid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normalt 2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ikke beg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strafbart forhold.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 kan endvidere betinges af, at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mte i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vrigt overholder fastsatte vilk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r, herunder undergiver sig tilsyn af kriminalforsorgen.</w:t>
      </w:r>
    </w:p>
    <w:p w14:paraId="79E2519D" w14:textId="77777777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2.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 om, at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des, skal snarest muligt forkyndes for den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ldende ved kriminalforsorgsomr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dets foranstaltning. Samtidig vejledes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udf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rligt om 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relsens betydning, herunder om forst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elsen af de fastsatte vilk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og om virkningen af vilk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rsovertr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delser.</w:t>
      </w:r>
    </w:p>
    <w:p w14:paraId="4E6ABE6C" w14:textId="77777777" w:rsidR="00181CEC" w:rsidRPr="00D32B6C" w:rsidRDefault="00181CEC" w:rsidP="00D32B6C">
      <w:pPr>
        <w:spacing w:before="400" w:after="100" w:line="300" w:lineRule="auto"/>
        <w:jc w:val="center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Kapitel 4</w:t>
      </w:r>
    </w:p>
    <w:p w14:paraId="701824BA" w14:textId="77777777" w:rsidR="00181CEC" w:rsidRPr="00D32B6C" w:rsidRDefault="00181CEC" w:rsidP="00D32B6C">
      <w:pPr>
        <w:spacing w:after="100" w:line="30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Ben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dning i s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rlige tilf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lde</w:t>
      </w:r>
    </w:p>
    <w:p w14:paraId="6945D832" w14:textId="468014F3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15.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andfogeden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eller 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det kriminalforsorgsområde, hvorunder Kriminalforsorgen på Færøerne hører</w:t>
      </w:r>
      <w:r w:rsidR="00EE34B6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,</w:t>
      </w:r>
      <w:r w:rsidR="008805F2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skal tage sp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rgsm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let om eventuel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 op til overvejelse, hvis</w:t>
      </w:r>
    </w:p>
    <w:p w14:paraId="3783F445" w14:textId="77777777" w:rsidR="00181CEC" w:rsidRPr="00D32B6C" w:rsidRDefault="00181CEC" w:rsidP="00D32B6C">
      <w:pPr>
        <w:spacing w:after="0" w:line="300" w:lineRule="auto"/>
        <w:ind w:left="-17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1)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er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fri fod,</w:t>
      </w:r>
    </w:p>
    <w:p w14:paraId="5C3EC971" w14:textId="77777777" w:rsidR="00181CEC" w:rsidRPr="00D32B6C" w:rsidRDefault="00181CEC" w:rsidP="00D32B6C">
      <w:pPr>
        <w:spacing w:after="0" w:line="300" w:lineRule="auto"/>
        <w:ind w:left="-17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2)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der er 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et 1 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og 6 m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neder fra det tidspunkt, hvor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ngselsstraffen kunne fuldbyrdes (fuldbyrdelsesordre), og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i det 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vnte tidsrum ikke er blevet straffet for et ikke bagatelagtigt forhold, og</w:t>
      </w:r>
    </w:p>
    <w:p w14:paraId="6FC2CDBD" w14:textId="77777777" w:rsidR="00181CEC" w:rsidRPr="00D32B6C" w:rsidRDefault="00181CEC" w:rsidP="00D32B6C">
      <w:pPr>
        <w:spacing w:after="0" w:line="300" w:lineRule="auto"/>
        <w:ind w:left="-17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3)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stadig ikke er blevet indkaldt til udst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else af 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ngselsstraffen.</w:t>
      </w:r>
    </w:p>
    <w:p w14:paraId="1F5BB5C3" w14:textId="3C88B3EE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lastRenderedPageBreak/>
        <w:t>Stk. 2.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</w:t>
      </w:r>
      <w:bookmarkStart w:id="0" w:name="_GoBack"/>
      <w:bookmarkEnd w:id="0"/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andfogeden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og </w:t>
      </w:r>
      <w:r w:rsidR="00366BAA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det kriminalforsorgsområde, hvorunder Kriminalforsorgen på Færøerne hører,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afgiver en udtalelse til Direktoratet for Kriminalforsorgen om, hvorvidt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b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des.</w:t>
      </w:r>
    </w:p>
    <w:p w14:paraId="1C58B51C" w14:textId="77777777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3.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Ved beregningen af det tidsrum, der er 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vnt i stk. 1, nr. 2, medregnes ikke den tid, hvor</w:t>
      </w:r>
    </w:p>
    <w:p w14:paraId="1228C0A7" w14:textId="77777777" w:rsidR="00181CEC" w:rsidRPr="00D32B6C" w:rsidRDefault="00181CEC" w:rsidP="00D32B6C">
      <w:pPr>
        <w:spacing w:after="0" w:line="300" w:lineRule="auto"/>
        <w:ind w:left="-17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1)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 om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eller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 fra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 har haft eller v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ret tillagt ops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ttende virkning,</w:t>
      </w:r>
    </w:p>
    <w:p w14:paraId="4073731A" w14:textId="77777777" w:rsidR="00181CEC" w:rsidRPr="00D32B6C" w:rsidRDefault="00181CEC" w:rsidP="00D32B6C">
      <w:pPr>
        <w:spacing w:after="0" w:line="300" w:lineRule="auto"/>
        <w:ind w:left="-17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2)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der har foreligget hindringer for indkaldelse, som skyldes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mtes forhold, eller</w:t>
      </w:r>
    </w:p>
    <w:p w14:paraId="28137B46" w14:textId="77777777" w:rsidR="00181CEC" w:rsidRPr="00D32B6C" w:rsidRDefault="00181CEC" w:rsidP="00D32B6C">
      <w:pPr>
        <w:spacing w:after="0" w:line="300" w:lineRule="auto"/>
        <w:ind w:left="-17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3)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fuldbyrdelsen har v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ret tilladt udsat.</w:t>
      </w:r>
    </w:p>
    <w:p w14:paraId="02551344" w14:textId="77777777" w:rsidR="00181CEC" w:rsidRPr="00D32B6C" w:rsidRDefault="00181CEC" w:rsidP="00D32B6C">
      <w:pPr>
        <w:spacing w:before="400" w:after="100" w:line="300" w:lineRule="auto"/>
        <w:jc w:val="center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Kapitel 5</w:t>
      </w:r>
    </w:p>
    <w:p w14:paraId="14D0D539" w14:textId="77777777" w:rsidR="00181CEC" w:rsidRPr="00D32B6C" w:rsidRDefault="00181CEC" w:rsidP="00D32B6C">
      <w:pPr>
        <w:spacing w:after="100" w:line="30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Fritagelse for forvandlingsstraf for b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de</w:t>
      </w:r>
    </w:p>
    <w:p w14:paraId="2A90A40F" w14:textId="5BD81B2B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16.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En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 om fritagelse for at udst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forvandlingsstraf for b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grund af den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ldendes helbredsforhold indsendes af</w:t>
      </w:r>
      <w:r w:rsidR="004436B9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="001F4107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landfogeden</w:t>
      </w:r>
      <w:r w:rsidR="001F4107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til Direktoratet for Kriminalforsorgen med en udtalelse, hvis afg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relsen om forvandlingsstraf fastholdes. I andre tilf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lde behandles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gningen efter reglerne i b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debekendtg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relsens kapitel 3 om eftergivelse af b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de.</w:t>
      </w:r>
    </w:p>
    <w:p w14:paraId="09F28E59" w14:textId="5212B4E3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2.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andfogeden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foretager en afh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ring af den d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mte, medmindre det efter indholdet af ans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gningen ikke er 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dvendigt.</w:t>
      </w:r>
    </w:p>
    <w:p w14:paraId="394B96F8" w14:textId="5073F93F" w:rsidR="00181CEC" w:rsidRPr="00D32B6C" w:rsidRDefault="00181CEC" w:rsidP="00D32B6C">
      <w:pPr>
        <w:spacing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Stk. 3.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andfogeden</w:t>
      </w:r>
      <w:r w:rsidR="00100425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skal 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 den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ldende bekendt med, at fritagelse som 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vnt i stk. 1, 1. pkt., i givet fald ikke medf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rer bortfald af forpligtelsen til at betale den b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de, forvandlingsstraffen skulle have tr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dt i stedet for.</w:t>
      </w:r>
    </w:p>
    <w:p w14:paraId="23EB6922" w14:textId="77777777" w:rsidR="00181CEC" w:rsidRPr="00D32B6C" w:rsidRDefault="00181CEC" w:rsidP="00D32B6C">
      <w:pPr>
        <w:spacing w:before="400" w:after="100" w:line="300" w:lineRule="auto"/>
        <w:jc w:val="center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Kapitel 6</w:t>
      </w:r>
    </w:p>
    <w:p w14:paraId="192D0A4E" w14:textId="77777777" w:rsidR="00181CEC" w:rsidRPr="00D32B6C" w:rsidRDefault="00181CEC" w:rsidP="00D32B6C">
      <w:pPr>
        <w:spacing w:after="100" w:line="30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Milit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re straffesager</w:t>
      </w:r>
    </w:p>
    <w:p w14:paraId="6FF11AB7" w14:textId="77777777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17.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Bekendtg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relsen 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lder ikke uds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ttelse med fuldbyrdelse af eller ben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dning for straf p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å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lagt i milit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 straffesager.</w:t>
      </w:r>
    </w:p>
    <w:p w14:paraId="0F9ACA28" w14:textId="77777777" w:rsidR="00181CEC" w:rsidRPr="00D32B6C" w:rsidRDefault="00181CEC" w:rsidP="00D32B6C">
      <w:pPr>
        <w:spacing w:before="400" w:after="100" w:line="300" w:lineRule="auto"/>
        <w:jc w:val="center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Kapitel 7</w:t>
      </w:r>
    </w:p>
    <w:p w14:paraId="404A14C2" w14:textId="77777777" w:rsidR="00181CEC" w:rsidRPr="00D32B6C" w:rsidRDefault="00181CEC" w:rsidP="00D32B6C">
      <w:pPr>
        <w:spacing w:after="100" w:line="300" w:lineRule="auto"/>
        <w:jc w:val="center"/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Ikrafttr</w:t>
      </w:r>
      <w:r w:rsidRPr="00D32B6C">
        <w:rPr>
          <w:rFonts w:ascii="Questa-Regular" w:eastAsia="Times New Roman" w:hAnsi="Questa-Regular" w:cs="Times New Roman" w:hint="eastAsia"/>
          <w:i/>
          <w:iCs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den</w:t>
      </w:r>
    </w:p>
    <w:p w14:paraId="750B211A" w14:textId="52223918" w:rsidR="00181CEC" w:rsidRPr="00D32B6C" w:rsidRDefault="00181CEC" w:rsidP="00D32B6C">
      <w:pPr>
        <w:spacing w:before="200" w:after="0" w:line="300" w:lineRule="auto"/>
        <w:ind w:firstLine="240"/>
        <w:jc w:val="both"/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 w:hint="eastAsia"/>
          <w:b/>
          <w:bCs/>
          <w:color w:val="212529"/>
          <w:sz w:val="24"/>
          <w:szCs w:val="24"/>
          <w:lang w:eastAsia="da-DK"/>
        </w:rPr>
        <w:t>§ </w:t>
      </w:r>
      <w:r w:rsidRPr="00D32B6C">
        <w:rPr>
          <w:rFonts w:ascii="Questa-Regular" w:eastAsia="Times New Roman" w:hAnsi="Questa-Regular" w:cs="Times New Roman"/>
          <w:b/>
          <w:bCs/>
          <w:color w:val="212529"/>
          <w:sz w:val="24"/>
          <w:szCs w:val="24"/>
          <w:lang w:eastAsia="da-DK"/>
        </w:rPr>
        <w:t>18.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 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Bekendtg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ø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relsen tr</w:t>
      </w:r>
      <w:r w:rsidRPr="00D32B6C">
        <w:rPr>
          <w:rFonts w:ascii="Questa-Regular" w:eastAsia="Times New Roman" w:hAnsi="Questa-Regular" w:cs="Times New Roman" w:hint="eastAsia"/>
          <w:color w:val="212529"/>
          <w:sz w:val="24"/>
          <w:szCs w:val="24"/>
          <w:lang w:eastAsia="da-DK"/>
        </w:rPr>
        <w:t>æ</w:t>
      </w:r>
      <w:r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der i kraf</w:t>
      </w:r>
      <w:r w:rsidR="002A4754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>t</w:t>
      </w:r>
      <w:r w:rsidR="002704F9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den</w:t>
      </w:r>
      <w:r w:rsidR="002A4754" w:rsidRPr="00D32B6C">
        <w:rPr>
          <w:rFonts w:ascii="Questa-Regular" w:eastAsia="Times New Roman" w:hAnsi="Questa-Regular" w:cs="Times New Roman"/>
          <w:color w:val="212529"/>
          <w:sz w:val="24"/>
          <w:szCs w:val="24"/>
          <w:lang w:eastAsia="da-DK"/>
        </w:rPr>
        <w:t xml:space="preserve"> 1. juli 2023.</w:t>
      </w:r>
    </w:p>
    <w:p w14:paraId="2642F9D0" w14:textId="0652C970" w:rsidR="00181CEC" w:rsidRPr="00D32B6C" w:rsidRDefault="00181CEC" w:rsidP="00D32B6C">
      <w:pPr>
        <w:spacing w:before="120" w:after="0" w:line="30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da-DK"/>
        </w:rPr>
      </w:pPr>
      <w:r w:rsidRPr="00D32B6C">
        <w:rPr>
          <w:rFonts w:ascii="Questa-Regular" w:eastAsia="Times New Roman" w:hAnsi="Questa-Regular" w:cs="Times New Roman"/>
          <w:i/>
          <w:iCs/>
          <w:color w:val="212529"/>
          <w:sz w:val="24"/>
          <w:szCs w:val="24"/>
          <w:lang w:eastAsia="da-DK"/>
        </w:rPr>
        <w:t>Justitsministeriet, den</w:t>
      </w:r>
      <w:r w:rsidRPr="00D32B6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da-DK"/>
        </w:rPr>
        <w:t xml:space="preserve"> </w:t>
      </w:r>
    </w:p>
    <w:p w14:paraId="446E082C" w14:textId="77777777" w:rsidR="00DB0882" w:rsidRPr="00D32B6C" w:rsidRDefault="00DB0882" w:rsidP="00D32B6C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4C3C46A4" w14:textId="77777777" w:rsidR="00B30D93" w:rsidRPr="00D32B6C" w:rsidRDefault="00B30D93" w:rsidP="00D32B6C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sectPr w:rsidR="00B30D93" w:rsidRPr="00D32B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D642" w14:textId="77777777" w:rsidR="000E7F29" w:rsidRDefault="000E7F29" w:rsidP="00164BE3">
      <w:pPr>
        <w:spacing w:after="0" w:line="240" w:lineRule="auto"/>
      </w:pPr>
      <w:r>
        <w:separator/>
      </w:r>
    </w:p>
  </w:endnote>
  <w:endnote w:type="continuationSeparator" w:id="0">
    <w:p w14:paraId="5D55EB7C" w14:textId="77777777" w:rsidR="000E7F29" w:rsidRDefault="000E7F29" w:rsidP="001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83A0" w14:textId="77777777" w:rsidR="000E7F29" w:rsidRDefault="000E7F29" w:rsidP="00164BE3">
      <w:pPr>
        <w:spacing w:after="0" w:line="240" w:lineRule="auto"/>
      </w:pPr>
      <w:r>
        <w:separator/>
      </w:r>
    </w:p>
  </w:footnote>
  <w:footnote w:type="continuationSeparator" w:id="0">
    <w:p w14:paraId="758E2160" w14:textId="77777777" w:rsidR="000E7F29" w:rsidRDefault="000E7F29" w:rsidP="0016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118"/>
    <w:multiLevelType w:val="hybridMultilevel"/>
    <w:tmpl w:val="3488A3E2"/>
    <w:lvl w:ilvl="0" w:tplc="F05EDC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E3B80"/>
    <w:multiLevelType w:val="hybridMultilevel"/>
    <w:tmpl w:val="2D080936"/>
    <w:lvl w:ilvl="0" w:tplc="EF148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EC"/>
    <w:rsid w:val="00003076"/>
    <w:rsid w:val="000233A3"/>
    <w:rsid w:val="00036CFC"/>
    <w:rsid w:val="000373E1"/>
    <w:rsid w:val="00043EA7"/>
    <w:rsid w:val="0007309A"/>
    <w:rsid w:val="00076279"/>
    <w:rsid w:val="0007698D"/>
    <w:rsid w:val="0008493D"/>
    <w:rsid w:val="00095DC3"/>
    <w:rsid w:val="000A0CF2"/>
    <w:rsid w:val="000D50B8"/>
    <w:rsid w:val="000D7DFE"/>
    <w:rsid w:val="000E4CF1"/>
    <w:rsid w:val="000E7F29"/>
    <w:rsid w:val="000F053F"/>
    <w:rsid w:val="00100425"/>
    <w:rsid w:val="00106D26"/>
    <w:rsid w:val="00107C10"/>
    <w:rsid w:val="00107F3E"/>
    <w:rsid w:val="00155D49"/>
    <w:rsid w:val="00164BE3"/>
    <w:rsid w:val="00181CEC"/>
    <w:rsid w:val="00183DF4"/>
    <w:rsid w:val="00185BC9"/>
    <w:rsid w:val="00191886"/>
    <w:rsid w:val="001B0723"/>
    <w:rsid w:val="001D0419"/>
    <w:rsid w:val="001E58C4"/>
    <w:rsid w:val="001F20A4"/>
    <w:rsid w:val="001F4107"/>
    <w:rsid w:val="002028D1"/>
    <w:rsid w:val="00205AD7"/>
    <w:rsid w:val="00213266"/>
    <w:rsid w:val="002238A7"/>
    <w:rsid w:val="00224068"/>
    <w:rsid w:val="0023619F"/>
    <w:rsid w:val="0023765F"/>
    <w:rsid w:val="0024467A"/>
    <w:rsid w:val="002507D7"/>
    <w:rsid w:val="002704F9"/>
    <w:rsid w:val="002A4754"/>
    <w:rsid w:val="002D197C"/>
    <w:rsid w:val="002F0B61"/>
    <w:rsid w:val="002F1A97"/>
    <w:rsid w:val="002F3B6A"/>
    <w:rsid w:val="00315717"/>
    <w:rsid w:val="00322737"/>
    <w:rsid w:val="003232FF"/>
    <w:rsid w:val="00332DC9"/>
    <w:rsid w:val="00343554"/>
    <w:rsid w:val="00344B1B"/>
    <w:rsid w:val="00352CC9"/>
    <w:rsid w:val="00366BAA"/>
    <w:rsid w:val="00373FC3"/>
    <w:rsid w:val="003962C8"/>
    <w:rsid w:val="003A530D"/>
    <w:rsid w:val="003F0144"/>
    <w:rsid w:val="00423886"/>
    <w:rsid w:val="004436B9"/>
    <w:rsid w:val="00461CEB"/>
    <w:rsid w:val="00464113"/>
    <w:rsid w:val="00466666"/>
    <w:rsid w:val="00467DAC"/>
    <w:rsid w:val="00467E69"/>
    <w:rsid w:val="00486653"/>
    <w:rsid w:val="004969C7"/>
    <w:rsid w:val="004B21C4"/>
    <w:rsid w:val="004D7D2F"/>
    <w:rsid w:val="004E6C40"/>
    <w:rsid w:val="00504589"/>
    <w:rsid w:val="00511512"/>
    <w:rsid w:val="00532A11"/>
    <w:rsid w:val="00552789"/>
    <w:rsid w:val="00553D8C"/>
    <w:rsid w:val="00556D88"/>
    <w:rsid w:val="00565926"/>
    <w:rsid w:val="005824B1"/>
    <w:rsid w:val="00595F70"/>
    <w:rsid w:val="005B44DC"/>
    <w:rsid w:val="005D4C6A"/>
    <w:rsid w:val="005E1ECA"/>
    <w:rsid w:val="005F1B99"/>
    <w:rsid w:val="00610494"/>
    <w:rsid w:val="00613D7E"/>
    <w:rsid w:val="006150E8"/>
    <w:rsid w:val="00653FBC"/>
    <w:rsid w:val="00660A2C"/>
    <w:rsid w:val="006667B3"/>
    <w:rsid w:val="00676FCB"/>
    <w:rsid w:val="0068170D"/>
    <w:rsid w:val="0068456B"/>
    <w:rsid w:val="006B4C9A"/>
    <w:rsid w:val="006C11CD"/>
    <w:rsid w:val="006C60DF"/>
    <w:rsid w:val="006E640F"/>
    <w:rsid w:val="00707646"/>
    <w:rsid w:val="00781445"/>
    <w:rsid w:val="007926CE"/>
    <w:rsid w:val="00794896"/>
    <w:rsid w:val="0080760A"/>
    <w:rsid w:val="0082554A"/>
    <w:rsid w:val="008336BF"/>
    <w:rsid w:val="008618AE"/>
    <w:rsid w:val="00876618"/>
    <w:rsid w:val="008805F2"/>
    <w:rsid w:val="0088196B"/>
    <w:rsid w:val="00882163"/>
    <w:rsid w:val="008A04A4"/>
    <w:rsid w:val="008A1539"/>
    <w:rsid w:val="008B18E3"/>
    <w:rsid w:val="008C2F3B"/>
    <w:rsid w:val="008C3D74"/>
    <w:rsid w:val="008E584C"/>
    <w:rsid w:val="008E7CEC"/>
    <w:rsid w:val="008F5C99"/>
    <w:rsid w:val="00902CFD"/>
    <w:rsid w:val="00906114"/>
    <w:rsid w:val="00931337"/>
    <w:rsid w:val="00934B6B"/>
    <w:rsid w:val="00945116"/>
    <w:rsid w:val="00972D34"/>
    <w:rsid w:val="00980C84"/>
    <w:rsid w:val="00983558"/>
    <w:rsid w:val="00993CD5"/>
    <w:rsid w:val="009A551F"/>
    <w:rsid w:val="00A004F9"/>
    <w:rsid w:val="00A04E9D"/>
    <w:rsid w:val="00A16D0B"/>
    <w:rsid w:val="00A21A1B"/>
    <w:rsid w:val="00A27D22"/>
    <w:rsid w:val="00A718BE"/>
    <w:rsid w:val="00AA164C"/>
    <w:rsid w:val="00AB4BAF"/>
    <w:rsid w:val="00AC1614"/>
    <w:rsid w:val="00AD7986"/>
    <w:rsid w:val="00AE5B71"/>
    <w:rsid w:val="00AF2203"/>
    <w:rsid w:val="00AF2675"/>
    <w:rsid w:val="00B30D93"/>
    <w:rsid w:val="00B31981"/>
    <w:rsid w:val="00B73F09"/>
    <w:rsid w:val="00B776AC"/>
    <w:rsid w:val="00B8356E"/>
    <w:rsid w:val="00B95D19"/>
    <w:rsid w:val="00BA49D6"/>
    <w:rsid w:val="00BA59A6"/>
    <w:rsid w:val="00BE1702"/>
    <w:rsid w:val="00C3500D"/>
    <w:rsid w:val="00C5477D"/>
    <w:rsid w:val="00C56F9F"/>
    <w:rsid w:val="00C9095A"/>
    <w:rsid w:val="00CC353F"/>
    <w:rsid w:val="00CD08DD"/>
    <w:rsid w:val="00CD49BF"/>
    <w:rsid w:val="00CD74A3"/>
    <w:rsid w:val="00CF1F46"/>
    <w:rsid w:val="00CF4BD8"/>
    <w:rsid w:val="00D309DB"/>
    <w:rsid w:val="00D32B6C"/>
    <w:rsid w:val="00D34842"/>
    <w:rsid w:val="00D547E8"/>
    <w:rsid w:val="00D55FFA"/>
    <w:rsid w:val="00D62388"/>
    <w:rsid w:val="00D6266D"/>
    <w:rsid w:val="00D647CB"/>
    <w:rsid w:val="00D74E2C"/>
    <w:rsid w:val="00D9185C"/>
    <w:rsid w:val="00DB0882"/>
    <w:rsid w:val="00DD224F"/>
    <w:rsid w:val="00DF569C"/>
    <w:rsid w:val="00E0070F"/>
    <w:rsid w:val="00E02E89"/>
    <w:rsid w:val="00E16C4E"/>
    <w:rsid w:val="00E3061F"/>
    <w:rsid w:val="00E52ABA"/>
    <w:rsid w:val="00E57419"/>
    <w:rsid w:val="00E80C40"/>
    <w:rsid w:val="00E84E35"/>
    <w:rsid w:val="00EA5EB4"/>
    <w:rsid w:val="00EB3B5A"/>
    <w:rsid w:val="00EE34B6"/>
    <w:rsid w:val="00F06C99"/>
    <w:rsid w:val="00F37D11"/>
    <w:rsid w:val="00F554CC"/>
    <w:rsid w:val="00F65E58"/>
    <w:rsid w:val="00F72D87"/>
    <w:rsid w:val="00F74146"/>
    <w:rsid w:val="00F85B57"/>
    <w:rsid w:val="00F870A2"/>
    <w:rsid w:val="00F9621B"/>
    <w:rsid w:val="00FA118F"/>
    <w:rsid w:val="00FA512E"/>
    <w:rsid w:val="00FB3112"/>
    <w:rsid w:val="00FB5457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2F0B"/>
  <w15:chartTrackingRefBased/>
  <w15:docId w15:val="{B7654954-C24E-49A8-8C1D-A0AF1E66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D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33A3"/>
    <w:rPr>
      <w:rFonts w:ascii="Segoe UI" w:hAnsi="Segoe UI" w:cs="Segoe UI"/>
      <w:sz w:val="18"/>
      <w:szCs w:val="18"/>
    </w:rPr>
  </w:style>
  <w:style w:type="paragraph" w:customStyle="1" w:styleId="indledning2">
    <w:name w:val="indledning2"/>
    <w:basedOn w:val="Normal"/>
    <w:rsid w:val="0002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233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233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233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33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33A3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64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4BE3"/>
  </w:style>
  <w:style w:type="paragraph" w:styleId="Sidefod">
    <w:name w:val="footer"/>
    <w:basedOn w:val="Normal"/>
    <w:link w:val="SidefodTegn"/>
    <w:uiPriority w:val="99"/>
    <w:unhideWhenUsed/>
    <w:rsid w:val="00164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4BE3"/>
  </w:style>
  <w:style w:type="paragraph" w:styleId="Listeafsnit">
    <w:name w:val="List Paragraph"/>
    <w:basedOn w:val="Normal"/>
    <w:uiPriority w:val="99"/>
    <w:qFormat/>
    <w:rsid w:val="00DB0882"/>
    <w:pPr>
      <w:spacing w:after="0" w:line="288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Korrektur">
    <w:name w:val="Revision"/>
    <w:hidden/>
    <w:uiPriority w:val="99"/>
    <w:semiHidden/>
    <w:rsid w:val="006667B3"/>
    <w:pPr>
      <w:spacing w:after="0" w:line="240" w:lineRule="auto"/>
    </w:pPr>
  </w:style>
  <w:style w:type="paragraph" w:customStyle="1" w:styleId="paragraf">
    <w:name w:val="paragraf"/>
    <w:basedOn w:val="Normal"/>
    <w:rsid w:val="00676FCB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676FCB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76FCB"/>
    <w:pPr>
      <w:numPr>
        <w:ilvl w:val="1"/>
      </w:numPr>
      <w:spacing w:after="60" w:line="300" w:lineRule="auto"/>
      <w:jc w:val="both"/>
      <w:outlineLvl w:val="1"/>
    </w:pPr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6FCB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paragrafnr">
    <w:name w:val="paragrafnr"/>
    <w:basedOn w:val="Standardskrifttypeiafsnit"/>
    <w:rsid w:val="000E4CF1"/>
  </w:style>
  <w:style w:type="character" w:styleId="Hyperlink">
    <w:name w:val="Hyperlink"/>
    <w:basedOn w:val="Standardskrifttypeiafsnit"/>
    <w:uiPriority w:val="99"/>
    <w:semiHidden/>
    <w:unhideWhenUsed/>
    <w:rsid w:val="006845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D4FB-E90F-4F40-8F36-6786C7BD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1610</Words>
  <Characters>9662</Characters>
  <Application>Microsoft Office Word</Application>
  <DocSecurity>0</DocSecurity>
  <Lines>158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jif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 Bayrak</dc:creator>
  <cp:keywords/>
  <dc:description/>
  <cp:lastModifiedBy>Nanna Thorbøll Madsen</cp:lastModifiedBy>
  <cp:revision>6</cp:revision>
  <cp:lastPrinted>2022-12-20T08:52:00Z</cp:lastPrinted>
  <dcterms:created xsi:type="dcterms:W3CDTF">2023-04-20T09:57:00Z</dcterms:created>
  <dcterms:modified xsi:type="dcterms:W3CDTF">2023-04-25T07:51:00Z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