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419" w:tblpY="2320"/>
        <w:tblOverlap w:val="never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4"/>
        <w:gridCol w:w="2499"/>
      </w:tblGrid>
      <w:tr w:rsidR="007D7D56" w14:paraId="53974C56" w14:textId="77777777" w:rsidTr="00150B87">
        <w:trPr>
          <w:trHeight w:val="974"/>
        </w:trPr>
        <w:tc>
          <w:tcPr>
            <w:tcW w:w="7424" w:type="dxa"/>
            <w:vMerge w:val="restart"/>
          </w:tcPr>
          <w:p w14:paraId="31FD48CB" w14:textId="1CD147D3" w:rsidR="002D038D" w:rsidRDefault="003911C4" w:rsidP="00EA074E">
            <w:pPr>
              <w:tabs>
                <w:tab w:val="left" w:pos="5160"/>
              </w:tabs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5CDE6E7C" w14:textId="77777777" w:rsidR="007D7D56" w:rsidRDefault="002D038D" w:rsidP="00EA074E">
            <w:pPr>
              <w:tabs>
                <w:tab w:val="left" w:pos="5160"/>
              </w:tabs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499" w:type="dxa"/>
            <w:tcMar>
              <w:top w:w="0" w:type="dxa"/>
              <w:left w:w="142" w:type="dxa"/>
              <w:bottom w:w="0" w:type="dxa"/>
              <w:right w:w="0" w:type="dxa"/>
            </w:tcMar>
          </w:tcPr>
          <w:p w14:paraId="5C41639C" w14:textId="77777777" w:rsidR="007D7D56" w:rsidRDefault="007D7D56">
            <w:pPr>
              <w:spacing w:before="40" w:line="240" w:lineRule="auto"/>
              <w:rPr>
                <w:rFonts w:cs="Times New Roman"/>
                <w:sz w:val="16"/>
                <w:szCs w:val="16"/>
              </w:rPr>
            </w:pPr>
            <w:bookmarkStart w:id="0" w:name="udfafd__"/>
            <w:bookmarkEnd w:id="0"/>
          </w:p>
        </w:tc>
      </w:tr>
      <w:tr w:rsidR="007D7D56" w14:paraId="2680B3D3" w14:textId="77777777" w:rsidTr="00150B87">
        <w:trPr>
          <w:trHeight w:val="1158"/>
        </w:trPr>
        <w:tc>
          <w:tcPr>
            <w:tcW w:w="0" w:type="auto"/>
            <w:vMerge/>
            <w:vAlign w:val="center"/>
            <w:hideMark/>
          </w:tcPr>
          <w:p w14:paraId="6E5851F6" w14:textId="77777777" w:rsidR="007D7D56" w:rsidRDefault="007D7D56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499" w:type="dxa"/>
            <w:tcMar>
              <w:top w:w="0" w:type="dxa"/>
              <w:left w:w="142" w:type="dxa"/>
              <w:bottom w:w="0" w:type="dxa"/>
              <w:right w:w="0" w:type="dxa"/>
            </w:tcMar>
            <w:hideMark/>
          </w:tcPr>
          <w:p w14:paraId="4D4D3896" w14:textId="77777777" w:rsidR="007D7D56" w:rsidRDefault="007D7D56" w:rsidP="00CF7949">
            <w:pPr>
              <w:tabs>
                <w:tab w:val="left" w:pos="738"/>
              </w:tabs>
              <w:spacing w:line="240" w:lineRule="auto"/>
              <w:jc w:val="left"/>
              <w:rPr>
                <w:rFonts w:cs="Times New Roman"/>
              </w:rPr>
            </w:pPr>
          </w:p>
        </w:tc>
      </w:tr>
    </w:tbl>
    <w:p w14:paraId="5DAA3BA0" w14:textId="77777777" w:rsidR="000F788D" w:rsidRDefault="000F788D" w:rsidP="000F788D">
      <w:pPr>
        <w:spacing w:line="240" w:lineRule="auto"/>
        <w:rPr>
          <w:rFonts w:ascii="Questa-Regular" w:hAnsi="Questa-Regular"/>
          <w:sz w:val="37"/>
          <w:szCs w:val="37"/>
        </w:rPr>
      </w:pPr>
      <w:bookmarkStart w:id="1" w:name="bmkStart"/>
      <w:bookmarkEnd w:id="1"/>
    </w:p>
    <w:p w14:paraId="2FF8A2EA" w14:textId="77777777" w:rsidR="000F788D" w:rsidRDefault="000F788D" w:rsidP="000F788D">
      <w:pPr>
        <w:spacing w:line="240" w:lineRule="auto"/>
        <w:rPr>
          <w:rFonts w:ascii="Questa-Regular" w:hAnsi="Questa-Regular"/>
          <w:sz w:val="37"/>
          <w:szCs w:val="37"/>
        </w:rPr>
      </w:pPr>
    </w:p>
    <w:p w14:paraId="6002F9AD" w14:textId="66BE5CBD" w:rsidR="002F4D19" w:rsidRPr="008029AB" w:rsidRDefault="002F4D19" w:rsidP="000F788D">
      <w:pPr>
        <w:spacing w:line="240" w:lineRule="auto"/>
        <w:rPr>
          <w:rFonts w:ascii="Questa-Regular" w:hAnsi="Questa-Regular"/>
          <w:sz w:val="23"/>
          <w:szCs w:val="23"/>
        </w:rPr>
      </w:pPr>
      <w:r w:rsidRPr="008029AB">
        <w:rPr>
          <w:rFonts w:ascii="Questa-Regular" w:hAnsi="Questa-Regular"/>
          <w:sz w:val="37"/>
          <w:szCs w:val="37"/>
        </w:rPr>
        <w:t>Bekendtgørelse</w:t>
      </w:r>
      <w:r w:rsidR="00C61040" w:rsidRPr="008029AB">
        <w:rPr>
          <w:rFonts w:ascii="Questa-Regular" w:hAnsi="Questa-Regular"/>
          <w:sz w:val="37"/>
          <w:szCs w:val="37"/>
        </w:rPr>
        <w:t xml:space="preserve"> for Færøerne</w:t>
      </w:r>
      <w:r w:rsidRPr="008029AB">
        <w:rPr>
          <w:rFonts w:ascii="Questa-Regular" w:hAnsi="Questa-Regular"/>
          <w:sz w:val="37"/>
          <w:szCs w:val="37"/>
        </w:rPr>
        <w:t xml:space="preserve"> om erstatning og godtgørelse til indsatte i </w:t>
      </w:r>
      <w:r w:rsidR="007270E1" w:rsidRPr="008029AB">
        <w:rPr>
          <w:rFonts w:ascii="Questa-Regular" w:hAnsi="Questa-Regular"/>
          <w:sz w:val="37"/>
          <w:szCs w:val="37"/>
        </w:rPr>
        <w:t xml:space="preserve">Færøerne Arrest </w:t>
      </w:r>
      <w:r w:rsidRPr="008029AB">
        <w:rPr>
          <w:rFonts w:ascii="Questa-Regular" w:hAnsi="Questa-Regular"/>
          <w:sz w:val="37"/>
          <w:szCs w:val="37"/>
        </w:rPr>
        <w:t xml:space="preserve">og til dømte og prøveløsladte under udførelse af samfundstjeneste for følger af ulykkestilfælde </w:t>
      </w:r>
      <w:r w:rsidRPr="0095546A">
        <w:rPr>
          <w:rFonts w:ascii="Questa-Regular" w:hAnsi="Questa-Regular"/>
          <w:sz w:val="36"/>
          <w:szCs w:val="36"/>
        </w:rPr>
        <w:t>m.v.</w:t>
      </w:r>
    </w:p>
    <w:p w14:paraId="6D315589" w14:textId="77777777" w:rsidR="002F4D19" w:rsidRPr="000F788D" w:rsidRDefault="002F4D19" w:rsidP="000F788D">
      <w:pPr>
        <w:jc w:val="center"/>
        <w:rPr>
          <w:rFonts w:ascii="Questa-Regular" w:hAnsi="Questa-Regular"/>
          <w:b/>
          <w:szCs w:val="24"/>
        </w:rPr>
      </w:pPr>
    </w:p>
    <w:p w14:paraId="3BD4C2F7" w14:textId="2C30A30A" w:rsidR="00AC63FC" w:rsidRPr="00AC63FC" w:rsidRDefault="002F4D19" w:rsidP="00AC63FC">
      <w:pPr>
        <w:spacing w:line="240" w:lineRule="auto"/>
        <w:jc w:val="left"/>
        <w:rPr>
          <w:rFonts w:ascii="Questa-Regular" w:hAnsi="Questa-Regular"/>
          <w:color w:val="212529"/>
        </w:rPr>
      </w:pPr>
      <w:r w:rsidRPr="000F788D">
        <w:rPr>
          <w:rFonts w:ascii="Questa-Regular" w:hAnsi="Questa-Regular"/>
          <w:color w:val="212529"/>
        </w:rPr>
        <w:t>I medfør af § 6, § 102 og § 105, stk. 2, i</w:t>
      </w:r>
      <w:r w:rsidR="001435E4" w:rsidRPr="000F788D">
        <w:rPr>
          <w:rFonts w:ascii="Questa-Regular" w:hAnsi="Questa-Regular"/>
          <w:color w:val="212529"/>
        </w:rPr>
        <w:t xml:space="preserve"> </w:t>
      </w:r>
      <w:r w:rsidR="000F788D">
        <w:rPr>
          <w:rFonts w:ascii="Questa-Regular" w:hAnsi="Questa-Regular"/>
          <w:color w:val="212529"/>
        </w:rPr>
        <w:t>lov nr… af…,</w:t>
      </w:r>
      <w:r w:rsidR="001435E4" w:rsidRPr="000F788D">
        <w:rPr>
          <w:rFonts w:ascii="Questa-Regular" w:hAnsi="Questa-Regular"/>
          <w:color w:val="212529"/>
        </w:rPr>
        <w:t xml:space="preserve"> for Færøerne</w:t>
      </w:r>
      <w:r w:rsidRPr="000F788D">
        <w:rPr>
          <w:rFonts w:ascii="Questa-Regular" w:hAnsi="Questa-Regular"/>
          <w:color w:val="212529"/>
        </w:rPr>
        <w:t xml:space="preserve"> om fuldbyrdelse af straf m.v. § </w:t>
      </w:r>
      <w:r w:rsidR="001435E4" w:rsidRPr="000F788D">
        <w:rPr>
          <w:rFonts w:ascii="Questa-Regular" w:hAnsi="Questa-Regular"/>
          <w:color w:val="212529"/>
        </w:rPr>
        <w:t>809</w:t>
      </w:r>
      <w:r w:rsidRPr="000F788D">
        <w:rPr>
          <w:rFonts w:ascii="Questa-Regular" w:hAnsi="Questa-Regular"/>
          <w:color w:val="212529"/>
        </w:rPr>
        <w:t xml:space="preserve">, 1. pkt., i </w:t>
      </w:r>
      <w:r w:rsidR="003C0F5A" w:rsidRPr="000F788D">
        <w:rPr>
          <w:rFonts w:ascii="Questa-Regular" w:hAnsi="Questa-Regular"/>
          <w:color w:val="212529"/>
        </w:rPr>
        <w:t>retsplejelov for Færøerne, jf. lov nr. 964 af 26. juni 2020</w:t>
      </w:r>
      <w:r w:rsidR="001435E4" w:rsidRPr="000F788D">
        <w:rPr>
          <w:rFonts w:ascii="Questa-Regular" w:hAnsi="Questa-Regular"/>
          <w:color w:val="212529"/>
        </w:rPr>
        <w:t>, som ændret ved lov nr</w:t>
      </w:r>
      <w:r w:rsidR="000F788D">
        <w:rPr>
          <w:rFonts w:ascii="Questa-Regular" w:hAnsi="Questa-Regular"/>
          <w:color w:val="212529"/>
        </w:rPr>
        <w:t>… af…</w:t>
      </w:r>
      <w:r w:rsidRPr="000F788D">
        <w:rPr>
          <w:rFonts w:ascii="Questa-Regular" w:hAnsi="Questa-Regular"/>
          <w:color w:val="212529"/>
        </w:rPr>
        <w:t>,</w:t>
      </w:r>
      <w:r w:rsidR="00AC63FC" w:rsidRPr="00AC63FC">
        <w:t xml:space="preserve"> </w:t>
      </w:r>
      <w:r w:rsidR="00AC63FC" w:rsidRPr="00AC63FC">
        <w:t>og § 6 i lagtingslov nr. 67 af 25. maj 2009 om forsikring imod følgerne af arbejdsskade og efter forhandling med Færøernes landsstyre</w:t>
      </w:r>
      <w:r w:rsidR="00AC63FC" w:rsidRPr="00AC63FC">
        <w:rPr>
          <w:rFonts w:cs="Times New Roman"/>
          <w:szCs w:val="24"/>
          <w:lang w:eastAsia="da-DK"/>
        </w:rPr>
        <w:t xml:space="preserve"> </w:t>
      </w:r>
      <w:r w:rsidR="00AC63FC" w:rsidRPr="00AC63FC">
        <w:rPr>
          <w:rFonts w:ascii="Questa-Regular" w:hAnsi="Questa-Regular"/>
          <w:color w:val="212529"/>
        </w:rPr>
        <w:t>fastsættes:</w:t>
      </w:r>
    </w:p>
    <w:p w14:paraId="7FC20E69" w14:textId="77777777" w:rsidR="002F4D19" w:rsidRPr="000F788D" w:rsidRDefault="002F4D19" w:rsidP="000F788D">
      <w:pPr>
        <w:pStyle w:val="kapitel"/>
        <w:spacing w:before="400" w:beforeAutospacing="0" w:afterAutospacing="0" w:line="300" w:lineRule="auto"/>
        <w:jc w:val="center"/>
        <w:rPr>
          <w:rFonts w:ascii="Questa-Regular" w:hAnsi="Questa-Regular"/>
          <w:color w:val="212529"/>
        </w:rPr>
      </w:pPr>
      <w:r w:rsidRPr="000F788D">
        <w:rPr>
          <w:rFonts w:ascii="Questa-Regular" w:hAnsi="Questa-Regular"/>
          <w:color w:val="212529"/>
        </w:rPr>
        <w:t>Kapitel 1</w:t>
      </w:r>
      <w:bookmarkStart w:id="2" w:name="_GoBack"/>
      <w:bookmarkEnd w:id="2"/>
    </w:p>
    <w:p w14:paraId="52AFDBDD" w14:textId="77777777" w:rsidR="002F4D19" w:rsidRPr="000F788D" w:rsidRDefault="002F4D19" w:rsidP="000F788D">
      <w:pPr>
        <w:pStyle w:val="kapiteloverskrift2"/>
        <w:spacing w:before="0" w:beforeAutospacing="0" w:afterAutospacing="0" w:line="300" w:lineRule="auto"/>
        <w:jc w:val="center"/>
        <w:rPr>
          <w:rFonts w:ascii="Questa-Regular" w:hAnsi="Questa-Regular"/>
          <w:i/>
          <w:iCs/>
          <w:color w:val="212529"/>
        </w:rPr>
      </w:pPr>
      <w:r w:rsidRPr="000F788D">
        <w:rPr>
          <w:rFonts w:ascii="Questa-Regular" w:hAnsi="Questa-Regular"/>
          <w:i/>
          <w:iCs/>
          <w:color w:val="212529"/>
        </w:rPr>
        <w:t>Området for erstatning og godtgørelse</w:t>
      </w:r>
    </w:p>
    <w:p w14:paraId="3F9281BB" w14:textId="77777777" w:rsidR="002F4D19" w:rsidRPr="000F788D" w:rsidRDefault="002F4D19" w:rsidP="000F788D">
      <w:pPr>
        <w:pStyle w:val="kapiteloverskrift2"/>
        <w:spacing w:before="0" w:beforeAutospacing="0" w:afterAutospacing="0" w:line="300" w:lineRule="auto"/>
        <w:rPr>
          <w:rFonts w:ascii="Questa-Regular" w:hAnsi="Questa-Regular"/>
          <w:i/>
          <w:iCs/>
          <w:color w:val="212529"/>
        </w:rPr>
      </w:pPr>
    </w:p>
    <w:p w14:paraId="7287B19B" w14:textId="77777777" w:rsidR="002F4D19" w:rsidRPr="000F788D" w:rsidRDefault="002F4D19" w:rsidP="000F788D">
      <w:pPr>
        <w:pStyle w:val="kapiteloverskrift2"/>
        <w:spacing w:before="0" w:beforeAutospacing="0" w:after="0" w:afterAutospacing="0" w:line="300" w:lineRule="auto"/>
        <w:ind w:firstLine="284"/>
        <w:jc w:val="both"/>
        <w:rPr>
          <w:rFonts w:ascii="Questa-Regular" w:hAnsi="Questa-Regular"/>
          <w:iCs/>
          <w:color w:val="212529"/>
        </w:rPr>
      </w:pPr>
      <w:r w:rsidRPr="000F788D">
        <w:rPr>
          <w:rFonts w:ascii="Questa-Regular" w:hAnsi="Questa-Regular"/>
          <w:b/>
          <w:iCs/>
          <w:color w:val="212529"/>
        </w:rPr>
        <w:t>§ 1.</w:t>
      </w:r>
      <w:r w:rsidRPr="000F788D">
        <w:rPr>
          <w:rFonts w:ascii="Questa-Regular" w:hAnsi="Questa-Regular"/>
          <w:iCs/>
          <w:color w:val="212529"/>
        </w:rPr>
        <w:t xml:space="preserve"> Staten yder erstatning og godtgørelse for skader</w:t>
      </w:r>
      <w:r w:rsidR="00A321E8" w:rsidRPr="000F788D">
        <w:rPr>
          <w:rFonts w:ascii="Questa-Regular" w:hAnsi="Questa-Regular"/>
          <w:iCs/>
          <w:color w:val="212529"/>
        </w:rPr>
        <w:t>,</w:t>
      </w:r>
      <w:r w:rsidRPr="000F788D">
        <w:rPr>
          <w:rFonts w:ascii="Questa-Regular" w:hAnsi="Questa-Regular"/>
          <w:iCs/>
          <w:color w:val="212529"/>
        </w:rPr>
        <w:t xml:space="preserve"> der overgår </w:t>
      </w:r>
    </w:p>
    <w:p w14:paraId="5AB57CDF" w14:textId="43490E9A" w:rsidR="002F4D19" w:rsidRPr="000F788D" w:rsidRDefault="002F4D19" w:rsidP="000F788D">
      <w:pPr>
        <w:pStyle w:val="Listeafsnit"/>
        <w:numPr>
          <w:ilvl w:val="0"/>
          <w:numId w:val="4"/>
        </w:numPr>
        <w:ind w:left="426" w:hanging="426"/>
        <w:rPr>
          <w:rFonts w:ascii="Questa-Regular" w:hAnsi="Questa-Regular"/>
          <w:szCs w:val="24"/>
        </w:rPr>
      </w:pPr>
      <w:r w:rsidRPr="000F788D">
        <w:rPr>
          <w:rFonts w:ascii="Questa-Regular" w:hAnsi="Questa-Regular"/>
          <w:szCs w:val="24"/>
        </w:rPr>
        <w:t xml:space="preserve">indsatte i </w:t>
      </w:r>
      <w:r w:rsidR="00E82AE5">
        <w:rPr>
          <w:rFonts w:ascii="Questa-Regular" w:hAnsi="Questa-Regular"/>
          <w:szCs w:val="24"/>
        </w:rPr>
        <w:t>arresthuset</w:t>
      </w:r>
      <w:r w:rsidR="00825AAE" w:rsidRPr="000F788D">
        <w:rPr>
          <w:rFonts w:ascii="Questa-Regular" w:hAnsi="Questa-Regular"/>
          <w:szCs w:val="24"/>
        </w:rPr>
        <w:t xml:space="preserve"> </w:t>
      </w:r>
      <w:r w:rsidRPr="000F788D">
        <w:rPr>
          <w:rFonts w:ascii="Questa-Regular" w:hAnsi="Questa-Regular"/>
          <w:szCs w:val="24"/>
        </w:rPr>
        <w:t xml:space="preserve">og </w:t>
      </w:r>
    </w:p>
    <w:p w14:paraId="7F8450B3" w14:textId="77777777" w:rsidR="002F4D19" w:rsidRPr="000F788D" w:rsidRDefault="002F4D19" w:rsidP="000F788D">
      <w:pPr>
        <w:pStyle w:val="Listeafsnit"/>
        <w:numPr>
          <w:ilvl w:val="0"/>
          <w:numId w:val="4"/>
        </w:numPr>
        <w:ind w:left="426" w:hanging="426"/>
        <w:rPr>
          <w:rFonts w:ascii="Questa-Regular" w:hAnsi="Questa-Regular"/>
          <w:szCs w:val="24"/>
        </w:rPr>
      </w:pPr>
      <w:r w:rsidRPr="000F788D">
        <w:rPr>
          <w:rFonts w:ascii="Questa-Regular" w:hAnsi="Questa-Regular"/>
          <w:szCs w:val="24"/>
        </w:rPr>
        <w:t xml:space="preserve">dømte og prøveløsladte under udførelse af samfundstjeneste. </w:t>
      </w:r>
    </w:p>
    <w:p w14:paraId="1218CD21" w14:textId="77777777" w:rsidR="002F4D19" w:rsidRPr="000F788D" w:rsidRDefault="002F4D19" w:rsidP="000F788D">
      <w:pPr>
        <w:rPr>
          <w:rFonts w:ascii="Questa-Regular" w:hAnsi="Questa-Regular"/>
          <w:szCs w:val="24"/>
        </w:rPr>
      </w:pPr>
    </w:p>
    <w:p w14:paraId="5C822641" w14:textId="77777777" w:rsidR="002F4D19" w:rsidRPr="000F788D" w:rsidRDefault="002F4D19" w:rsidP="000F788D">
      <w:pPr>
        <w:ind w:firstLine="284"/>
        <w:rPr>
          <w:rFonts w:ascii="Questa-Regular" w:hAnsi="Questa-Regular"/>
          <w:szCs w:val="24"/>
        </w:rPr>
      </w:pPr>
      <w:r w:rsidRPr="000F788D">
        <w:rPr>
          <w:rFonts w:ascii="Questa-Regular" w:hAnsi="Questa-Regular"/>
          <w:b/>
          <w:szCs w:val="24"/>
        </w:rPr>
        <w:t xml:space="preserve">§ 2. </w:t>
      </w:r>
      <w:r w:rsidRPr="000F788D">
        <w:rPr>
          <w:rFonts w:ascii="Questa-Regular" w:hAnsi="Questa-Regular"/>
          <w:szCs w:val="24"/>
        </w:rPr>
        <w:t>Sager om erstatning og godtgørelse behandles efter reglerne i</w:t>
      </w:r>
      <w:r w:rsidR="00620D90" w:rsidRPr="000F788D">
        <w:rPr>
          <w:rFonts w:ascii="Questa-Regular" w:hAnsi="Questa-Regular"/>
          <w:szCs w:val="24"/>
        </w:rPr>
        <w:t xml:space="preserve"> lagtingslov nr. 67 af 25. maj 2009</w:t>
      </w:r>
      <w:r w:rsidR="0066279D" w:rsidRPr="000F788D">
        <w:rPr>
          <w:rFonts w:ascii="Questa-Regular" w:hAnsi="Questa-Regular"/>
          <w:szCs w:val="24"/>
        </w:rPr>
        <w:t xml:space="preserve"> om forsikring imod følger af arbejdsskade (</w:t>
      </w:r>
      <w:r w:rsidR="002D0CA0" w:rsidRPr="000F788D">
        <w:rPr>
          <w:rFonts w:ascii="Questa-Regular" w:hAnsi="Questa-Regular"/>
          <w:szCs w:val="24"/>
        </w:rPr>
        <w:t>a</w:t>
      </w:r>
      <w:r w:rsidR="0066279D" w:rsidRPr="000F788D">
        <w:rPr>
          <w:rFonts w:ascii="Questa-Regular" w:hAnsi="Questa-Regular"/>
          <w:szCs w:val="24"/>
        </w:rPr>
        <w:t>rbejdsskadeforsikringsloven)</w:t>
      </w:r>
      <w:r w:rsidR="00A321E8" w:rsidRPr="000F788D">
        <w:rPr>
          <w:rFonts w:ascii="Questa-Regular" w:hAnsi="Questa-Regular"/>
          <w:szCs w:val="24"/>
        </w:rPr>
        <w:t>, som</w:t>
      </w:r>
      <w:r w:rsidR="00CE389D" w:rsidRPr="000F788D">
        <w:rPr>
          <w:rFonts w:ascii="Questa-Regular" w:hAnsi="Questa-Regular"/>
          <w:szCs w:val="24"/>
        </w:rPr>
        <w:t xml:space="preserve"> </w:t>
      </w:r>
      <w:r w:rsidR="008029AB" w:rsidRPr="000F788D">
        <w:rPr>
          <w:rFonts w:ascii="Questa-Regular" w:hAnsi="Questa-Regular"/>
          <w:szCs w:val="24"/>
        </w:rPr>
        <w:t>senest</w:t>
      </w:r>
      <w:r w:rsidR="0066279D" w:rsidRPr="000F788D">
        <w:rPr>
          <w:rFonts w:ascii="Questa-Regular" w:hAnsi="Questa-Regular"/>
          <w:szCs w:val="24"/>
        </w:rPr>
        <w:t xml:space="preserve"> ændret ved lagtingslov nr. 51 af 12. maj 2015</w:t>
      </w:r>
      <w:r w:rsidR="0066279D" w:rsidRPr="000F788D">
        <w:rPr>
          <w:rStyle w:val="Kommentarhenvisning"/>
          <w:rFonts w:ascii="Questa-Regular" w:hAnsi="Questa-Regular"/>
          <w:sz w:val="24"/>
          <w:szCs w:val="24"/>
        </w:rPr>
        <w:t xml:space="preserve"> </w:t>
      </w:r>
      <w:r w:rsidRPr="000F788D">
        <w:rPr>
          <w:rFonts w:ascii="Questa-Regular" w:hAnsi="Questa-Regular"/>
          <w:szCs w:val="24"/>
        </w:rPr>
        <w:t>med de ændringer, der følger af §§ 3-5.</w:t>
      </w:r>
    </w:p>
    <w:p w14:paraId="08027F75" w14:textId="77777777" w:rsidR="002F4D19" w:rsidRPr="000F788D" w:rsidRDefault="002F4D19" w:rsidP="000F788D">
      <w:pPr>
        <w:ind w:firstLine="284"/>
        <w:rPr>
          <w:rFonts w:ascii="Questa-Regular" w:hAnsi="Questa-Regular"/>
          <w:szCs w:val="24"/>
        </w:rPr>
      </w:pPr>
    </w:p>
    <w:p w14:paraId="62E057EF" w14:textId="2585776D" w:rsidR="002F4D19" w:rsidRPr="000F788D" w:rsidRDefault="002F4D19" w:rsidP="000F788D">
      <w:pPr>
        <w:ind w:firstLine="284"/>
        <w:rPr>
          <w:rFonts w:ascii="Questa-Regular" w:hAnsi="Questa-Regular"/>
          <w:szCs w:val="24"/>
        </w:rPr>
      </w:pPr>
      <w:r w:rsidRPr="000F788D">
        <w:rPr>
          <w:rFonts w:ascii="Questa-Regular" w:hAnsi="Questa-Regular"/>
          <w:b/>
          <w:szCs w:val="24"/>
        </w:rPr>
        <w:t xml:space="preserve">§ 3. </w:t>
      </w:r>
      <w:r w:rsidR="00561528" w:rsidRPr="000F788D">
        <w:rPr>
          <w:rFonts w:ascii="Questa-Regular" w:hAnsi="Questa-Regular"/>
          <w:szCs w:val="24"/>
        </w:rPr>
        <w:t>Denne bekendtgørelse omfatter personskade som følge af ulykke eller sygdom, der skyldes forholdene under afsoningen</w:t>
      </w:r>
      <w:r w:rsidR="00A74311" w:rsidRPr="000F788D">
        <w:rPr>
          <w:rFonts w:ascii="Questa-Regular" w:hAnsi="Questa-Regular"/>
          <w:szCs w:val="24"/>
        </w:rPr>
        <w:t xml:space="preserve"> eller </w:t>
      </w:r>
      <w:r w:rsidR="00D866EF" w:rsidRPr="000F788D">
        <w:rPr>
          <w:rFonts w:ascii="Questa-Regular" w:hAnsi="Questa-Regular"/>
          <w:szCs w:val="24"/>
        </w:rPr>
        <w:t xml:space="preserve">forholdene </w:t>
      </w:r>
      <w:r w:rsidR="00A74311" w:rsidRPr="000F788D">
        <w:rPr>
          <w:rFonts w:ascii="Questa-Regular" w:hAnsi="Questa-Regular"/>
          <w:szCs w:val="24"/>
        </w:rPr>
        <w:t>under afvikling af samfundstjeneste</w:t>
      </w:r>
      <w:r w:rsidR="00561528" w:rsidRPr="000F788D">
        <w:rPr>
          <w:rFonts w:ascii="Questa-Regular" w:hAnsi="Questa-Regular"/>
          <w:szCs w:val="24"/>
        </w:rPr>
        <w:t>.</w:t>
      </w:r>
    </w:p>
    <w:p w14:paraId="539A6103" w14:textId="77777777" w:rsidR="002F4D19" w:rsidRPr="000F788D" w:rsidRDefault="002F4D19" w:rsidP="000F788D">
      <w:pPr>
        <w:ind w:firstLine="284"/>
        <w:rPr>
          <w:rFonts w:ascii="Questa-Regular" w:hAnsi="Questa-Regular"/>
          <w:szCs w:val="24"/>
        </w:rPr>
      </w:pPr>
    </w:p>
    <w:p w14:paraId="64888D39" w14:textId="77777777" w:rsidR="002F4D19" w:rsidRPr="000F788D" w:rsidRDefault="002F4D19" w:rsidP="000F788D">
      <w:pPr>
        <w:ind w:firstLine="284"/>
        <w:rPr>
          <w:rFonts w:ascii="Questa-Regular" w:hAnsi="Questa-Regular"/>
          <w:szCs w:val="24"/>
        </w:rPr>
      </w:pPr>
      <w:r w:rsidRPr="000F788D">
        <w:rPr>
          <w:rFonts w:ascii="Questa-Regular" w:hAnsi="Questa-Regular"/>
          <w:b/>
          <w:szCs w:val="24"/>
        </w:rPr>
        <w:t xml:space="preserve">§ 4. </w:t>
      </w:r>
      <w:r w:rsidRPr="000F788D">
        <w:rPr>
          <w:rFonts w:ascii="Questa-Regular" w:hAnsi="Questa-Regular"/>
          <w:szCs w:val="24"/>
        </w:rPr>
        <w:t xml:space="preserve">Erstatning og godtgørelse ydes, når skaden indtræffer under </w:t>
      </w:r>
    </w:p>
    <w:p w14:paraId="659EBB71" w14:textId="77777777" w:rsidR="002F4D19" w:rsidRPr="000F788D" w:rsidRDefault="002F4D19" w:rsidP="000F788D">
      <w:pPr>
        <w:pStyle w:val="Listeafsnit"/>
        <w:numPr>
          <w:ilvl w:val="0"/>
          <w:numId w:val="15"/>
        </w:numPr>
        <w:rPr>
          <w:rFonts w:ascii="Questa-Regular" w:hAnsi="Questa-Regular"/>
          <w:szCs w:val="24"/>
        </w:rPr>
      </w:pPr>
      <w:r w:rsidRPr="000F788D">
        <w:rPr>
          <w:rFonts w:ascii="Questa-Regular" w:hAnsi="Questa-Regular"/>
          <w:szCs w:val="24"/>
        </w:rPr>
        <w:t xml:space="preserve">opholdet i </w:t>
      </w:r>
      <w:r w:rsidR="00C37A99" w:rsidRPr="000F788D">
        <w:rPr>
          <w:rFonts w:ascii="Questa-Regular" w:hAnsi="Questa-Regular"/>
          <w:szCs w:val="24"/>
        </w:rPr>
        <w:t>arrest</w:t>
      </w:r>
      <w:r w:rsidR="008029AB" w:rsidRPr="000F788D">
        <w:rPr>
          <w:rFonts w:ascii="Questa-Regular" w:hAnsi="Questa-Regular"/>
          <w:szCs w:val="24"/>
        </w:rPr>
        <w:t>huset</w:t>
      </w:r>
      <w:r w:rsidRPr="000F788D">
        <w:rPr>
          <w:rFonts w:ascii="Questa-Regular" w:hAnsi="Questa-Regular"/>
          <w:szCs w:val="24"/>
        </w:rPr>
        <w:t xml:space="preserve"> </w:t>
      </w:r>
    </w:p>
    <w:p w14:paraId="1589C1EF" w14:textId="77777777" w:rsidR="002F4D19" w:rsidRPr="000F788D" w:rsidRDefault="002F4D19" w:rsidP="000F788D">
      <w:pPr>
        <w:pStyle w:val="Listeafsnit"/>
        <w:numPr>
          <w:ilvl w:val="0"/>
          <w:numId w:val="15"/>
        </w:numPr>
        <w:ind w:left="426" w:hanging="426"/>
        <w:rPr>
          <w:rFonts w:ascii="Questa-Regular" w:hAnsi="Questa-Regular"/>
          <w:szCs w:val="24"/>
        </w:rPr>
      </w:pPr>
      <w:r w:rsidRPr="000F788D">
        <w:rPr>
          <w:rFonts w:ascii="Questa-Regular" w:hAnsi="Questa-Regular"/>
          <w:szCs w:val="24"/>
        </w:rPr>
        <w:t xml:space="preserve">arbejde uden for </w:t>
      </w:r>
      <w:r w:rsidR="00C37A99" w:rsidRPr="000F788D">
        <w:rPr>
          <w:rFonts w:ascii="Questa-Regular" w:hAnsi="Questa-Regular"/>
          <w:szCs w:val="24"/>
        </w:rPr>
        <w:t>arrest</w:t>
      </w:r>
      <w:r w:rsidR="008029AB" w:rsidRPr="000F788D">
        <w:rPr>
          <w:rFonts w:ascii="Questa-Regular" w:hAnsi="Questa-Regular"/>
          <w:szCs w:val="24"/>
        </w:rPr>
        <w:t>huset</w:t>
      </w:r>
      <w:r w:rsidRPr="000F788D">
        <w:rPr>
          <w:rFonts w:ascii="Questa-Regular" w:hAnsi="Questa-Regular"/>
          <w:szCs w:val="24"/>
        </w:rPr>
        <w:t xml:space="preserve">, medmindre skadelidte arbejder for en arbejdsgiver, som er uafhængig af </w:t>
      </w:r>
      <w:r w:rsidR="00C37A99" w:rsidRPr="000F788D">
        <w:rPr>
          <w:rFonts w:ascii="Questa-Regular" w:hAnsi="Questa-Regular"/>
          <w:szCs w:val="24"/>
        </w:rPr>
        <w:t>arresten</w:t>
      </w:r>
      <w:r w:rsidRPr="000F788D">
        <w:rPr>
          <w:rFonts w:ascii="Questa-Regular" w:hAnsi="Questa-Regular"/>
          <w:szCs w:val="24"/>
        </w:rPr>
        <w:t xml:space="preserve"> </w:t>
      </w:r>
    </w:p>
    <w:p w14:paraId="60E1A62B" w14:textId="77777777" w:rsidR="002F4D19" w:rsidRPr="000F788D" w:rsidRDefault="002F4D19" w:rsidP="000F788D">
      <w:pPr>
        <w:pStyle w:val="Listeafsnit"/>
        <w:numPr>
          <w:ilvl w:val="0"/>
          <w:numId w:val="15"/>
        </w:numPr>
        <w:ind w:left="426" w:hanging="426"/>
        <w:rPr>
          <w:rFonts w:ascii="Questa-Regular" w:hAnsi="Questa-Regular"/>
          <w:szCs w:val="24"/>
        </w:rPr>
      </w:pPr>
      <w:r w:rsidRPr="000F788D">
        <w:rPr>
          <w:rFonts w:ascii="Questa-Regular" w:hAnsi="Questa-Regular"/>
          <w:szCs w:val="24"/>
        </w:rPr>
        <w:t xml:space="preserve">uddannelse uden for </w:t>
      </w:r>
      <w:r w:rsidR="00C37A99" w:rsidRPr="000F788D">
        <w:rPr>
          <w:rFonts w:ascii="Questa-Regular" w:hAnsi="Questa-Regular"/>
          <w:szCs w:val="24"/>
        </w:rPr>
        <w:t>arrest</w:t>
      </w:r>
      <w:r w:rsidR="008029AB" w:rsidRPr="000F788D">
        <w:rPr>
          <w:rFonts w:ascii="Questa-Regular" w:hAnsi="Questa-Regular"/>
          <w:szCs w:val="24"/>
        </w:rPr>
        <w:t>huset</w:t>
      </w:r>
      <w:r w:rsidRPr="000F788D">
        <w:rPr>
          <w:rFonts w:ascii="Questa-Regular" w:hAnsi="Questa-Regular"/>
          <w:szCs w:val="24"/>
        </w:rPr>
        <w:t xml:space="preserve"> </w:t>
      </w:r>
    </w:p>
    <w:p w14:paraId="4BB0B03D" w14:textId="77777777" w:rsidR="002F4D19" w:rsidRPr="000F788D" w:rsidRDefault="002F4D19" w:rsidP="000F788D">
      <w:pPr>
        <w:pStyle w:val="Listeafsnit"/>
        <w:numPr>
          <w:ilvl w:val="0"/>
          <w:numId w:val="15"/>
        </w:numPr>
        <w:ind w:left="426" w:hanging="426"/>
        <w:rPr>
          <w:rFonts w:ascii="Questa-Regular" w:hAnsi="Questa-Regular"/>
          <w:szCs w:val="24"/>
        </w:rPr>
      </w:pPr>
      <w:r w:rsidRPr="000F788D">
        <w:rPr>
          <w:rFonts w:ascii="Questa-Regular" w:hAnsi="Questa-Regular"/>
          <w:szCs w:val="24"/>
        </w:rPr>
        <w:t xml:space="preserve">anden godkendt aktivitet uden for </w:t>
      </w:r>
      <w:r w:rsidR="00C37A99" w:rsidRPr="000F788D">
        <w:rPr>
          <w:rFonts w:ascii="Questa-Regular" w:hAnsi="Questa-Regular"/>
          <w:szCs w:val="24"/>
        </w:rPr>
        <w:t>arrest</w:t>
      </w:r>
      <w:r w:rsidR="008029AB" w:rsidRPr="000F788D">
        <w:rPr>
          <w:rFonts w:ascii="Questa-Regular" w:hAnsi="Questa-Regular"/>
          <w:szCs w:val="24"/>
        </w:rPr>
        <w:t>huset</w:t>
      </w:r>
      <w:r w:rsidRPr="000F788D">
        <w:rPr>
          <w:rFonts w:ascii="Questa-Regular" w:hAnsi="Questa-Regular"/>
          <w:szCs w:val="24"/>
        </w:rPr>
        <w:t xml:space="preserve"> </w:t>
      </w:r>
    </w:p>
    <w:p w14:paraId="5465EE39" w14:textId="77777777" w:rsidR="002F4D19" w:rsidRPr="000F788D" w:rsidRDefault="002F4D19" w:rsidP="000F788D">
      <w:pPr>
        <w:pStyle w:val="Listeafsnit"/>
        <w:numPr>
          <w:ilvl w:val="0"/>
          <w:numId w:val="15"/>
        </w:numPr>
        <w:ind w:left="426" w:hanging="426"/>
        <w:rPr>
          <w:rFonts w:ascii="Questa-Regular" w:hAnsi="Questa-Regular"/>
          <w:szCs w:val="24"/>
        </w:rPr>
      </w:pPr>
      <w:r w:rsidRPr="000F788D">
        <w:rPr>
          <w:rFonts w:ascii="Questa-Regular" w:hAnsi="Questa-Regular"/>
          <w:szCs w:val="24"/>
        </w:rPr>
        <w:lastRenderedPageBreak/>
        <w:t>færden i forbindelse med beskæftigelse som nævnt i nr. 2-4.</w:t>
      </w:r>
    </w:p>
    <w:p w14:paraId="6570E748" w14:textId="5936BADC" w:rsidR="002F4D19" w:rsidRPr="000F788D" w:rsidRDefault="002F4D19" w:rsidP="000F788D">
      <w:pPr>
        <w:ind w:firstLine="284"/>
        <w:rPr>
          <w:rFonts w:ascii="Questa-Regular" w:hAnsi="Questa-Regular"/>
          <w:szCs w:val="24"/>
        </w:rPr>
      </w:pPr>
      <w:r w:rsidRPr="000F788D">
        <w:rPr>
          <w:rFonts w:ascii="Questa-Regular" w:hAnsi="Questa-Regular"/>
          <w:i/>
          <w:szCs w:val="24"/>
        </w:rPr>
        <w:t xml:space="preserve">Stk. 2. </w:t>
      </w:r>
      <w:r w:rsidRPr="000F788D">
        <w:rPr>
          <w:rFonts w:ascii="Questa-Regular" w:hAnsi="Questa-Regular"/>
          <w:szCs w:val="24"/>
        </w:rPr>
        <w:t>Erstatning og godtgørelse ydes endvidere, når skaden indtræffer under udførelse af samfundstjeneste</w:t>
      </w:r>
      <w:r w:rsidR="009327FC" w:rsidRPr="000F788D">
        <w:rPr>
          <w:rFonts w:ascii="Questa-Regular" w:hAnsi="Questa-Regular"/>
          <w:szCs w:val="24"/>
        </w:rPr>
        <w:t>.</w:t>
      </w:r>
      <w:r w:rsidRPr="000F788D">
        <w:rPr>
          <w:rFonts w:ascii="Questa-Regular" w:hAnsi="Questa-Regular"/>
          <w:szCs w:val="24"/>
        </w:rPr>
        <w:t xml:space="preserve"> </w:t>
      </w:r>
    </w:p>
    <w:p w14:paraId="3765A88C" w14:textId="77777777" w:rsidR="002F4D19" w:rsidRPr="000F788D" w:rsidRDefault="002F4D19" w:rsidP="000F788D">
      <w:pPr>
        <w:ind w:firstLine="284"/>
        <w:rPr>
          <w:rFonts w:ascii="Questa-Regular" w:hAnsi="Questa-Regular"/>
          <w:szCs w:val="24"/>
        </w:rPr>
      </w:pPr>
    </w:p>
    <w:p w14:paraId="51FFD235" w14:textId="77777777" w:rsidR="002F4D19" w:rsidRPr="000F788D" w:rsidRDefault="002F4D19" w:rsidP="000F788D">
      <w:pPr>
        <w:ind w:firstLine="284"/>
        <w:rPr>
          <w:rFonts w:ascii="Questa-Regular" w:hAnsi="Questa-Regular"/>
          <w:szCs w:val="24"/>
        </w:rPr>
      </w:pPr>
      <w:r w:rsidRPr="000F788D">
        <w:rPr>
          <w:rFonts w:ascii="Questa-Regular" w:hAnsi="Questa-Regular"/>
          <w:b/>
          <w:szCs w:val="24"/>
        </w:rPr>
        <w:t xml:space="preserve">§ 5. </w:t>
      </w:r>
      <w:r w:rsidRPr="000F788D">
        <w:rPr>
          <w:rFonts w:ascii="Questa-Regular" w:hAnsi="Questa-Regular"/>
          <w:szCs w:val="24"/>
        </w:rPr>
        <w:t xml:space="preserve">Skadelidtes årsløn efter </w:t>
      </w:r>
      <w:r w:rsidR="00A321E8" w:rsidRPr="000F788D">
        <w:rPr>
          <w:rFonts w:ascii="Questa-Regular" w:hAnsi="Questa-Regular"/>
          <w:szCs w:val="24"/>
        </w:rPr>
        <w:t xml:space="preserve">Arbejdsskadeforsikringsloven </w:t>
      </w:r>
      <w:r w:rsidRPr="000F788D">
        <w:rPr>
          <w:rFonts w:ascii="Questa-Regular" w:hAnsi="Questa-Regular"/>
          <w:szCs w:val="24"/>
        </w:rPr>
        <w:t xml:space="preserve">§ </w:t>
      </w:r>
      <w:r w:rsidR="003C0F5A" w:rsidRPr="000F788D">
        <w:rPr>
          <w:rFonts w:ascii="Questa-Regular" w:hAnsi="Questa-Regular"/>
          <w:szCs w:val="24"/>
        </w:rPr>
        <w:t>4</w:t>
      </w:r>
      <w:r w:rsidR="00C1743B" w:rsidRPr="000F788D">
        <w:rPr>
          <w:rFonts w:ascii="Questa-Regular" w:hAnsi="Questa-Regular"/>
          <w:szCs w:val="24"/>
        </w:rPr>
        <w:t>2</w:t>
      </w:r>
      <w:r w:rsidRPr="000F788D">
        <w:rPr>
          <w:rFonts w:ascii="Questa-Regular" w:hAnsi="Questa-Regular"/>
          <w:szCs w:val="24"/>
        </w:rPr>
        <w:t xml:space="preserve"> </w:t>
      </w:r>
      <w:r w:rsidR="00620D90" w:rsidRPr="000F788D">
        <w:rPr>
          <w:rFonts w:ascii="Questa-Regular" w:hAnsi="Questa-Regular"/>
          <w:szCs w:val="24"/>
        </w:rPr>
        <w:t>f</w:t>
      </w:r>
      <w:r w:rsidRPr="000F788D">
        <w:rPr>
          <w:rFonts w:ascii="Questa-Regular" w:hAnsi="Questa-Regular"/>
          <w:szCs w:val="24"/>
        </w:rPr>
        <w:t xml:space="preserve">astsættes af </w:t>
      </w:r>
      <w:r w:rsidR="00077AAC" w:rsidRPr="000F788D">
        <w:rPr>
          <w:rFonts w:ascii="Questa-Regular" w:hAnsi="Questa-Regular"/>
          <w:szCs w:val="24"/>
        </w:rPr>
        <w:t>Ulykkesforsikringsrådet</w:t>
      </w:r>
      <w:r w:rsidRPr="000F788D">
        <w:rPr>
          <w:rFonts w:ascii="Questa-Regular" w:hAnsi="Questa-Regular"/>
          <w:szCs w:val="24"/>
        </w:rPr>
        <w:t xml:space="preserve"> efter et skøn.</w:t>
      </w:r>
    </w:p>
    <w:p w14:paraId="5E3022CE" w14:textId="77777777" w:rsidR="002F4D19" w:rsidRPr="000F788D" w:rsidRDefault="002F4D19" w:rsidP="000F788D">
      <w:pPr>
        <w:ind w:firstLine="284"/>
        <w:rPr>
          <w:rFonts w:ascii="Questa-Regular" w:hAnsi="Questa-Regular"/>
          <w:szCs w:val="24"/>
        </w:rPr>
      </w:pPr>
      <w:r w:rsidRPr="000F788D">
        <w:rPr>
          <w:rFonts w:ascii="Questa-Regular" w:hAnsi="Questa-Regular"/>
          <w:i/>
          <w:szCs w:val="24"/>
        </w:rPr>
        <w:t xml:space="preserve">Stk. 2. </w:t>
      </w:r>
      <w:r w:rsidRPr="000F788D">
        <w:rPr>
          <w:rFonts w:ascii="Questa-Regular" w:hAnsi="Questa-Regular"/>
          <w:szCs w:val="24"/>
        </w:rPr>
        <w:t xml:space="preserve">Ved skønnet over en indsats årsløn tager </w:t>
      </w:r>
      <w:r w:rsidR="00077AAC" w:rsidRPr="000F788D">
        <w:rPr>
          <w:rFonts w:ascii="Questa-Regular" w:hAnsi="Questa-Regular"/>
          <w:szCs w:val="24"/>
        </w:rPr>
        <w:t>Ulykkesforsikringsrådet</w:t>
      </w:r>
      <w:r w:rsidRPr="000F788D">
        <w:rPr>
          <w:rFonts w:ascii="Questa-Regular" w:hAnsi="Questa-Regular"/>
          <w:szCs w:val="24"/>
        </w:rPr>
        <w:t xml:space="preserve"> hensyn til skadelidtes erhvervsindtægt før anbringelsen i institutionen og til den erhvervsindtægt, som skadelidte kunne forvente at opnå efter løsladelsen, hvis skaden ikke var indtruffet.</w:t>
      </w:r>
    </w:p>
    <w:p w14:paraId="77B413B9" w14:textId="77777777" w:rsidR="002F4D19" w:rsidRPr="000F788D" w:rsidRDefault="002F4D19" w:rsidP="000F788D">
      <w:pPr>
        <w:pStyle w:val="kapitel"/>
        <w:spacing w:before="400" w:beforeAutospacing="0" w:afterAutospacing="0" w:line="300" w:lineRule="auto"/>
        <w:jc w:val="center"/>
        <w:rPr>
          <w:rFonts w:ascii="Questa-Regular" w:hAnsi="Questa-Regular"/>
          <w:color w:val="212529"/>
        </w:rPr>
      </w:pPr>
      <w:r w:rsidRPr="000F788D">
        <w:rPr>
          <w:rFonts w:ascii="Questa-Regular" w:hAnsi="Questa-Regular"/>
          <w:color w:val="212529"/>
        </w:rPr>
        <w:t>Kapitel 2</w:t>
      </w:r>
    </w:p>
    <w:p w14:paraId="526586B5" w14:textId="42244D1A" w:rsidR="002F4D19" w:rsidRPr="000F788D" w:rsidRDefault="002F4D19" w:rsidP="000F788D">
      <w:pPr>
        <w:pStyle w:val="kapiteloverskrift2"/>
        <w:spacing w:before="0" w:beforeAutospacing="0" w:afterAutospacing="0" w:line="300" w:lineRule="auto"/>
        <w:jc w:val="center"/>
        <w:rPr>
          <w:rFonts w:ascii="Questa-Regular" w:hAnsi="Questa-Regular"/>
          <w:i/>
          <w:iCs/>
          <w:color w:val="212529"/>
        </w:rPr>
      </w:pPr>
      <w:r w:rsidRPr="000F788D">
        <w:rPr>
          <w:rFonts w:ascii="Questa-Regular" w:hAnsi="Questa-Regular"/>
          <w:i/>
          <w:iCs/>
          <w:color w:val="212529"/>
        </w:rPr>
        <w:t>Anmeldelse af skader mv.</w:t>
      </w:r>
    </w:p>
    <w:p w14:paraId="0A0C23D2" w14:textId="50AF970C" w:rsidR="002F4D19" w:rsidRPr="000F788D" w:rsidRDefault="002F4D19" w:rsidP="000F788D">
      <w:pPr>
        <w:pStyle w:val="kapiteloverskrift2"/>
        <w:spacing w:before="0" w:beforeAutospacing="0" w:after="0" w:afterAutospacing="0" w:line="300" w:lineRule="auto"/>
        <w:jc w:val="both"/>
        <w:rPr>
          <w:rFonts w:ascii="Questa-Regular" w:hAnsi="Questa-Regular"/>
          <w:iCs/>
          <w:color w:val="212529"/>
        </w:rPr>
      </w:pPr>
      <w:r w:rsidRPr="000F788D">
        <w:rPr>
          <w:rFonts w:ascii="Questa-Regular" w:hAnsi="Questa-Regular"/>
          <w:b/>
          <w:iCs/>
          <w:color w:val="212529"/>
        </w:rPr>
        <w:t xml:space="preserve">§ 6. </w:t>
      </w:r>
      <w:r w:rsidRPr="000F788D">
        <w:rPr>
          <w:rFonts w:ascii="Questa-Regular" w:hAnsi="Questa-Regular"/>
          <w:iCs/>
          <w:color w:val="212529"/>
        </w:rPr>
        <w:t xml:space="preserve">En </w:t>
      </w:r>
      <w:r w:rsidR="00F12CF6" w:rsidRPr="000F788D">
        <w:rPr>
          <w:rFonts w:ascii="Questa-Regular" w:hAnsi="Questa-Regular"/>
          <w:iCs/>
          <w:color w:val="212529"/>
        </w:rPr>
        <w:t>personskade</w:t>
      </w:r>
      <w:r w:rsidRPr="000F788D">
        <w:rPr>
          <w:rFonts w:ascii="Questa-Regular" w:hAnsi="Questa-Regular"/>
          <w:iCs/>
          <w:color w:val="212529"/>
        </w:rPr>
        <w:t xml:space="preserve"> skal anmeldes til</w:t>
      </w:r>
      <w:r w:rsidR="00BF51BA" w:rsidRPr="000F788D">
        <w:rPr>
          <w:rFonts w:ascii="Questa-Regular" w:hAnsi="Questa-Regular"/>
          <w:iCs/>
          <w:color w:val="212529"/>
        </w:rPr>
        <w:t xml:space="preserve"> Forsikringsenheden i Direktoratet for Kriminalforsorgen</w:t>
      </w:r>
      <w:r w:rsidRPr="000F788D">
        <w:rPr>
          <w:rFonts w:ascii="Questa-Regular" w:hAnsi="Questa-Regular"/>
          <w:iCs/>
          <w:color w:val="212529"/>
        </w:rPr>
        <w:t>, hvis</w:t>
      </w:r>
    </w:p>
    <w:p w14:paraId="0EC6F01B" w14:textId="77777777" w:rsidR="002F4D19" w:rsidRPr="000F788D" w:rsidRDefault="002F4D19" w:rsidP="000F788D">
      <w:pPr>
        <w:pStyle w:val="kapiteloverskrift2"/>
        <w:numPr>
          <w:ilvl w:val="0"/>
          <w:numId w:val="18"/>
        </w:numPr>
        <w:tabs>
          <w:tab w:val="right" w:pos="7228"/>
        </w:tabs>
        <w:spacing w:before="0" w:beforeAutospacing="0" w:after="0" w:afterAutospacing="0" w:line="300" w:lineRule="auto"/>
        <w:jc w:val="both"/>
        <w:rPr>
          <w:rFonts w:ascii="Questa-Regular" w:hAnsi="Questa-Regular"/>
          <w:iCs/>
          <w:color w:val="212529"/>
        </w:rPr>
      </w:pPr>
      <w:r w:rsidRPr="000F788D">
        <w:rPr>
          <w:rFonts w:ascii="Questa-Regular" w:hAnsi="Questa-Regular"/>
          <w:iCs/>
          <w:color w:val="212529"/>
        </w:rPr>
        <w:t xml:space="preserve">skadelidte anmoder om det, eller </w:t>
      </w:r>
    </w:p>
    <w:p w14:paraId="00F5F3DC" w14:textId="3B2E0FAD" w:rsidR="002F4D19" w:rsidRPr="000F788D" w:rsidRDefault="00501E01" w:rsidP="000F788D">
      <w:pPr>
        <w:pStyle w:val="kapiteloverskrift2"/>
        <w:numPr>
          <w:ilvl w:val="0"/>
          <w:numId w:val="18"/>
        </w:numPr>
        <w:tabs>
          <w:tab w:val="right" w:pos="7228"/>
        </w:tabs>
        <w:spacing w:before="0" w:beforeAutospacing="0" w:after="0" w:afterAutospacing="0" w:line="300" w:lineRule="auto"/>
        <w:jc w:val="both"/>
        <w:rPr>
          <w:rFonts w:ascii="Questa-Regular" w:hAnsi="Questa-Regular"/>
          <w:iCs/>
          <w:color w:val="212529"/>
        </w:rPr>
      </w:pPr>
      <w:r w:rsidRPr="000F788D">
        <w:rPr>
          <w:rFonts w:ascii="Questa-Regular" w:hAnsi="Questa-Regular"/>
          <w:iCs/>
          <w:color w:val="212529"/>
        </w:rPr>
        <w:t>person</w:t>
      </w:r>
      <w:r w:rsidR="002F4D19" w:rsidRPr="000F788D">
        <w:rPr>
          <w:rFonts w:ascii="Questa-Regular" w:hAnsi="Questa-Regular"/>
          <w:iCs/>
          <w:color w:val="212529"/>
        </w:rPr>
        <w:t xml:space="preserve">skaden </w:t>
      </w:r>
      <w:r w:rsidR="00B2643F" w:rsidRPr="000F788D">
        <w:rPr>
          <w:rFonts w:ascii="Questa-Regular" w:hAnsi="Questa-Regular"/>
          <w:iCs/>
          <w:color w:val="212529"/>
        </w:rPr>
        <w:t>har været behandlingskrævende og skadelidte ikke har haft mulighed for at anmode om anmeldelse.</w:t>
      </w:r>
      <w:r w:rsidR="002F4D19" w:rsidRPr="000F788D">
        <w:rPr>
          <w:rFonts w:ascii="Questa-Regular" w:hAnsi="Questa-Regular"/>
          <w:iCs/>
          <w:color w:val="212529"/>
        </w:rPr>
        <w:t xml:space="preserve"> </w:t>
      </w:r>
    </w:p>
    <w:p w14:paraId="069610B2" w14:textId="711C3A82" w:rsidR="00B2643F" w:rsidRPr="000F788D" w:rsidRDefault="002F4D19" w:rsidP="000F788D">
      <w:pPr>
        <w:pStyle w:val="kapiteloverskrift2"/>
        <w:tabs>
          <w:tab w:val="right" w:pos="7228"/>
        </w:tabs>
        <w:spacing w:before="0" w:beforeAutospacing="0" w:after="0" w:afterAutospacing="0" w:line="300" w:lineRule="auto"/>
        <w:ind w:firstLine="284"/>
        <w:jc w:val="both"/>
        <w:rPr>
          <w:rFonts w:ascii="Questa-Regular" w:hAnsi="Questa-Regular"/>
          <w:iCs/>
          <w:color w:val="212529"/>
        </w:rPr>
      </w:pPr>
      <w:r w:rsidRPr="000F788D">
        <w:rPr>
          <w:rFonts w:ascii="Questa-Regular" w:hAnsi="Questa-Regular"/>
          <w:i/>
          <w:iCs/>
          <w:color w:val="212529"/>
        </w:rPr>
        <w:t>Stk. 2.</w:t>
      </w:r>
      <w:r w:rsidR="00B2643F" w:rsidRPr="000F788D">
        <w:rPr>
          <w:rFonts w:ascii="Questa-Regular" w:hAnsi="Questa-Regular"/>
          <w:iCs/>
          <w:color w:val="212529"/>
        </w:rPr>
        <w:t xml:space="preserve"> Institutionen, hvor skadelidte kom til skade</w:t>
      </w:r>
      <w:r w:rsidR="00C901BA" w:rsidRPr="000F788D">
        <w:rPr>
          <w:rFonts w:ascii="Questa-Regular" w:hAnsi="Questa-Regular"/>
          <w:iCs/>
          <w:color w:val="212529"/>
        </w:rPr>
        <w:t>, eller skadelidtes tilsynsførende under afvikling af samfundstjeneste</w:t>
      </w:r>
      <w:r w:rsidR="00B2643F" w:rsidRPr="000F788D">
        <w:rPr>
          <w:rFonts w:ascii="Questa-Regular" w:hAnsi="Questa-Regular"/>
          <w:iCs/>
          <w:color w:val="212529"/>
        </w:rPr>
        <w:t xml:space="preserve">, </w:t>
      </w:r>
      <w:r w:rsidR="00F17680" w:rsidRPr="000F788D">
        <w:rPr>
          <w:rFonts w:ascii="Questa-Regular" w:hAnsi="Questa-Regular"/>
          <w:iCs/>
          <w:color w:val="212529"/>
        </w:rPr>
        <w:t xml:space="preserve">har pligt </w:t>
      </w:r>
      <w:r w:rsidR="00C901BA" w:rsidRPr="000F788D">
        <w:rPr>
          <w:rFonts w:ascii="Questa-Regular" w:hAnsi="Questa-Regular"/>
          <w:iCs/>
          <w:color w:val="212529"/>
        </w:rPr>
        <w:t>til at anmelde personskaden</w:t>
      </w:r>
      <w:r w:rsidR="00B2643F" w:rsidRPr="000F788D">
        <w:rPr>
          <w:rFonts w:ascii="Questa-Regular" w:hAnsi="Questa-Regular"/>
          <w:iCs/>
          <w:color w:val="212529"/>
        </w:rPr>
        <w:t xml:space="preserve"> efter stk. 1</w:t>
      </w:r>
      <w:r w:rsidR="00C901BA" w:rsidRPr="000F788D">
        <w:rPr>
          <w:rFonts w:ascii="Questa-Regular" w:hAnsi="Questa-Regular"/>
          <w:iCs/>
          <w:color w:val="212529"/>
        </w:rPr>
        <w:t>.</w:t>
      </w:r>
      <w:r w:rsidR="00B2643F" w:rsidRPr="000F788D">
        <w:rPr>
          <w:rFonts w:ascii="Questa-Regular" w:hAnsi="Questa-Regular"/>
          <w:iCs/>
          <w:color w:val="212529"/>
        </w:rPr>
        <w:t xml:space="preserve">  </w:t>
      </w:r>
      <w:r w:rsidR="00B2643F" w:rsidRPr="000F788D">
        <w:rPr>
          <w:rFonts w:ascii="Questa-Regular" w:hAnsi="Questa-Regular"/>
          <w:i/>
          <w:iCs/>
          <w:color w:val="212529"/>
        </w:rPr>
        <w:t xml:space="preserve"> </w:t>
      </w:r>
    </w:p>
    <w:p w14:paraId="5F5C9CD5" w14:textId="003BECA1" w:rsidR="002A65D5" w:rsidRPr="000F788D" w:rsidRDefault="002A65D5" w:rsidP="000F788D">
      <w:pPr>
        <w:pStyle w:val="kapiteloverskrift2"/>
        <w:tabs>
          <w:tab w:val="right" w:pos="7228"/>
        </w:tabs>
        <w:spacing w:before="0" w:beforeAutospacing="0" w:after="0" w:afterAutospacing="0" w:line="300" w:lineRule="auto"/>
        <w:jc w:val="both"/>
        <w:rPr>
          <w:rFonts w:ascii="Questa-Regular" w:hAnsi="Questa-Regular"/>
          <w:color w:val="212529"/>
        </w:rPr>
      </w:pPr>
    </w:p>
    <w:p w14:paraId="3EAEA689" w14:textId="5E523D58" w:rsidR="006E70F3" w:rsidRPr="000F788D" w:rsidRDefault="006E70F3" w:rsidP="000F788D">
      <w:pPr>
        <w:pStyle w:val="kapiteloverskrift2"/>
        <w:spacing w:before="0" w:beforeAutospacing="0" w:after="0" w:afterAutospacing="0" w:line="300" w:lineRule="auto"/>
        <w:ind w:firstLine="284"/>
        <w:jc w:val="both"/>
        <w:rPr>
          <w:rFonts w:ascii="Questa-Regular" w:hAnsi="Questa-Regular"/>
          <w:iCs/>
          <w:color w:val="212529"/>
        </w:rPr>
      </w:pPr>
      <w:r w:rsidRPr="000F788D">
        <w:rPr>
          <w:rFonts w:ascii="Questa-Regular" w:hAnsi="Questa-Regular"/>
          <w:b/>
          <w:iCs/>
          <w:color w:val="212529"/>
        </w:rPr>
        <w:t xml:space="preserve">§ 7. </w:t>
      </w:r>
      <w:r w:rsidR="004A67CC" w:rsidRPr="000F788D">
        <w:rPr>
          <w:rFonts w:ascii="Questa-Regular" w:hAnsi="Questa-Regular"/>
          <w:iCs/>
          <w:color w:val="212529"/>
        </w:rPr>
        <w:t xml:space="preserve">Forsikringsenheden i Direktoratet for Kriminalforsorgen </w:t>
      </w:r>
      <w:r w:rsidR="00043B34" w:rsidRPr="000F788D">
        <w:rPr>
          <w:rFonts w:ascii="Questa-Regular" w:hAnsi="Questa-Regular"/>
          <w:iCs/>
          <w:color w:val="212529"/>
        </w:rPr>
        <w:t xml:space="preserve">skal </w:t>
      </w:r>
      <w:r w:rsidR="000D052E" w:rsidRPr="000F788D">
        <w:rPr>
          <w:rFonts w:ascii="Questa-Regular" w:hAnsi="Questa-Regular"/>
          <w:iCs/>
          <w:color w:val="212529"/>
        </w:rPr>
        <w:t>videresende</w:t>
      </w:r>
      <w:r w:rsidR="00043B34" w:rsidRPr="000F788D">
        <w:rPr>
          <w:rFonts w:ascii="Questa-Regular" w:hAnsi="Questa-Regular"/>
          <w:iCs/>
          <w:color w:val="212529"/>
        </w:rPr>
        <w:t xml:space="preserve"> en</w:t>
      </w:r>
      <w:r w:rsidR="000D052E" w:rsidRPr="000F788D">
        <w:rPr>
          <w:rFonts w:ascii="Questa-Regular" w:hAnsi="Questa-Regular"/>
          <w:iCs/>
          <w:color w:val="212529"/>
        </w:rPr>
        <w:t xml:space="preserve"> sag om</w:t>
      </w:r>
      <w:r w:rsidR="00043B34" w:rsidRPr="000F788D">
        <w:rPr>
          <w:rFonts w:ascii="Questa-Regular" w:hAnsi="Questa-Regular"/>
          <w:iCs/>
          <w:color w:val="212529"/>
        </w:rPr>
        <w:t xml:space="preserve"> personskade</w:t>
      </w:r>
      <w:r w:rsidR="004A67CC" w:rsidRPr="000F788D">
        <w:rPr>
          <w:rFonts w:ascii="Questa-Regular" w:hAnsi="Questa-Regular"/>
          <w:iCs/>
          <w:color w:val="212529"/>
        </w:rPr>
        <w:t xml:space="preserve"> efter denne bekendtgørelse</w:t>
      </w:r>
      <w:r w:rsidRPr="000F788D">
        <w:rPr>
          <w:rFonts w:ascii="Questa-Regular" w:hAnsi="Questa-Regular"/>
          <w:iCs/>
          <w:color w:val="212529"/>
        </w:rPr>
        <w:t xml:space="preserve"> til Ulykkesforsikringsrådet, hvis</w:t>
      </w:r>
    </w:p>
    <w:p w14:paraId="4D37AD23" w14:textId="1E7164EF" w:rsidR="006E70F3" w:rsidRPr="000F788D" w:rsidRDefault="00CE5965" w:rsidP="000F788D">
      <w:pPr>
        <w:pStyle w:val="kapiteloverskrift2"/>
        <w:numPr>
          <w:ilvl w:val="0"/>
          <w:numId w:val="20"/>
        </w:numPr>
        <w:tabs>
          <w:tab w:val="right" w:pos="7228"/>
        </w:tabs>
        <w:spacing w:before="0" w:beforeAutospacing="0" w:after="0" w:afterAutospacing="0" w:line="300" w:lineRule="auto"/>
        <w:jc w:val="both"/>
        <w:rPr>
          <w:rFonts w:ascii="Questa-Regular" w:hAnsi="Questa-Regular"/>
          <w:iCs/>
          <w:color w:val="212529"/>
        </w:rPr>
      </w:pPr>
      <w:r w:rsidRPr="000F788D">
        <w:rPr>
          <w:rFonts w:ascii="Questa-Regular" w:hAnsi="Questa-Regular"/>
          <w:iCs/>
          <w:color w:val="212529"/>
        </w:rPr>
        <w:t>skadelidte</w:t>
      </w:r>
      <w:r w:rsidR="006E70F3" w:rsidRPr="000F788D">
        <w:rPr>
          <w:rFonts w:ascii="Questa-Regular" w:hAnsi="Questa-Regular"/>
          <w:iCs/>
          <w:color w:val="212529"/>
        </w:rPr>
        <w:t xml:space="preserve"> er sikre</w:t>
      </w:r>
      <w:r w:rsidR="00043B34" w:rsidRPr="000F788D">
        <w:rPr>
          <w:rFonts w:ascii="Questa-Regular" w:hAnsi="Questa-Regular"/>
          <w:iCs/>
          <w:color w:val="212529"/>
        </w:rPr>
        <w:t>t efter denne bekendtgørelse</w:t>
      </w:r>
      <w:r w:rsidR="006E70F3" w:rsidRPr="000F788D">
        <w:rPr>
          <w:rFonts w:ascii="Questa-Regular" w:hAnsi="Questa-Regular"/>
          <w:iCs/>
          <w:color w:val="212529"/>
        </w:rPr>
        <w:t xml:space="preserve">, og </w:t>
      </w:r>
    </w:p>
    <w:p w14:paraId="6BF9E99C" w14:textId="6120E9E7" w:rsidR="006E70F3" w:rsidRPr="000F788D" w:rsidRDefault="003F17B2" w:rsidP="000F788D">
      <w:pPr>
        <w:pStyle w:val="kapiteloverskrift2"/>
        <w:numPr>
          <w:ilvl w:val="0"/>
          <w:numId w:val="20"/>
        </w:numPr>
        <w:tabs>
          <w:tab w:val="right" w:pos="7228"/>
        </w:tabs>
        <w:spacing w:before="0" w:beforeAutospacing="0" w:after="0" w:afterAutospacing="0" w:line="300" w:lineRule="auto"/>
        <w:jc w:val="both"/>
        <w:rPr>
          <w:rFonts w:ascii="Questa-Regular" w:hAnsi="Questa-Regular"/>
          <w:iCs/>
          <w:color w:val="212529"/>
        </w:rPr>
      </w:pPr>
      <w:r w:rsidRPr="000F788D">
        <w:rPr>
          <w:rFonts w:ascii="Questa-Regular" w:hAnsi="Questa-Regular"/>
          <w:iCs/>
          <w:color w:val="212529"/>
        </w:rPr>
        <w:t>person</w:t>
      </w:r>
      <w:r w:rsidR="006E70F3" w:rsidRPr="000F788D">
        <w:rPr>
          <w:rFonts w:ascii="Questa-Regular" w:hAnsi="Questa-Regular"/>
          <w:iCs/>
          <w:color w:val="212529"/>
        </w:rPr>
        <w:t xml:space="preserve">skaden antages at kunne begrunde krav på ydelser efter </w:t>
      </w:r>
      <w:r w:rsidR="00E51EF0" w:rsidRPr="000F788D">
        <w:rPr>
          <w:rFonts w:ascii="Questa-Regular" w:hAnsi="Questa-Regular"/>
          <w:iCs/>
          <w:color w:val="212529"/>
        </w:rPr>
        <w:t>a</w:t>
      </w:r>
      <w:r w:rsidR="006E70F3" w:rsidRPr="000F788D">
        <w:rPr>
          <w:rFonts w:ascii="Questa-Regular" w:hAnsi="Questa-Regular"/>
          <w:iCs/>
          <w:color w:val="212529"/>
        </w:rPr>
        <w:t xml:space="preserve">rbejdsskadeforsikringslovens kapitel 9-14 </w:t>
      </w:r>
    </w:p>
    <w:p w14:paraId="6D83F3F7" w14:textId="17C389DC" w:rsidR="006E70F3" w:rsidRPr="000F788D" w:rsidRDefault="006E70F3" w:rsidP="000F788D">
      <w:pPr>
        <w:pStyle w:val="kapiteloverskrift2"/>
        <w:tabs>
          <w:tab w:val="right" w:pos="7228"/>
        </w:tabs>
        <w:spacing w:before="0" w:beforeAutospacing="0" w:after="0" w:afterAutospacing="0" w:line="300" w:lineRule="auto"/>
        <w:ind w:firstLine="284"/>
        <w:jc w:val="both"/>
        <w:rPr>
          <w:rFonts w:ascii="Questa-Regular" w:hAnsi="Questa-Regular"/>
          <w:i/>
          <w:iCs/>
          <w:color w:val="212529"/>
        </w:rPr>
      </w:pPr>
      <w:r w:rsidRPr="000F788D">
        <w:rPr>
          <w:rFonts w:ascii="Questa-Regular" w:hAnsi="Questa-Regular"/>
          <w:i/>
          <w:iCs/>
          <w:color w:val="212529"/>
        </w:rPr>
        <w:t xml:space="preserve">Stk. 2. </w:t>
      </w:r>
      <w:r w:rsidRPr="000F788D">
        <w:rPr>
          <w:rFonts w:ascii="Questa-Regular" w:hAnsi="Questa-Regular"/>
          <w:iCs/>
          <w:color w:val="212529"/>
        </w:rPr>
        <w:t>Forsikringsenheden i Direktoratet for Kriminalforsorgen træffer afgørelse vedrørende stk. 1, nr.   1.</w:t>
      </w:r>
      <w:r w:rsidRPr="000F788D">
        <w:rPr>
          <w:rFonts w:ascii="Questa-Regular" w:hAnsi="Questa-Regular"/>
          <w:i/>
          <w:iCs/>
          <w:color w:val="212529"/>
        </w:rPr>
        <w:t xml:space="preserve"> </w:t>
      </w:r>
    </w:p>
    <w:p w14:paraId="438C68C1" w14:textId="4DC1ACBC" w:rsidR="006E70F3" w:rsidRPr="000F788D" w:rsidRDefault="006E70F3" w:rsidP="000F788D">
      <w:pPr>
        <w:pStyle w:val="kapiteloverskrift2"/>
        <w:tabs>
          <w:tab w:val="right" w:pos="7228"/>
        </w:tabs>
        <w:spacing w:before="0" w:beforeAutospacing="0" w:after="0" w:afterAutospacing="0" w:line="300" w:lineRule="auto"/>
        <w:ind w:firstLine="284"/>
        <w:jc w:val="both"/>
        <w:rPr>
          <w:rFonts w:ascii="Questa-Regular" w:hAnsi="Questa-Regular"/>
          <w:iCs/>
          <w:color w:val="212529"/>
        </w:rPr>
      </w:pPr>
      <w:r w:rsidRPr="000F788D">
        <w:rPr>
          <w:rFonts w:ascii="Questa-Regular" w:hAnsi="Questa-Regular"/>
          <w:i/>
          <w:iCs/>
          <w:color w:val="212529"/>
        </w:rPr>
        <w:t>Stk. 3.</w:t>
      </w:r>
      <w:r w:rsidR="009C7E3E">
        <w:rPr>
          <w:rFonts w:ascii="Questa-Regular" w:hAnsi="Questa-Regular"/>
          <w:i/>
          <w:iCs/>
          <w:color w:val="212529"/>
        </w:rPr>
        <w:t xml:space="preserve"> </w:t>
      </w:r>
      <w:r w:rsidRPr="000F788D">
        <w:rPr>
          <w:rFonts w:ascii="Questa-Regular" w:hAnsi="Questa-Regular"/>
          <w:iCs/>
          <w:color w:val="212529"/>
        </w:rPr>
        <w:t>Klageadgangen er afsk</w:t>
      </w:r>
      <w:r w:rsidRPr="000F788D">
        <w:rPr>
          <w:rFonts w:ascii="Questa-Regular" w:hAnsi="Questa-Regular" w:hint="eastAsia"/>
          <w:iCs/>
          <w:color w:val="212529"/>
        </w:rPr>
        <w:t>å</w:t>
      </w:r>
      <w:r w:rsidRPr="000F788D">
        <w:rPr>
          <w:rFonts w:ascii="Questa-Regular" w:hAnsi="Questa-Regular"/>
          <w:iCs/>
          <w:color w:val="212529"/>
        </w:rPr>
        <w:t>ret efter [.</w:t>
      </w:r>
      <w:r w:rsidR="000F788D">
        <w:rPr>
          <w:rFonts w:ascii="Questa-Regular" w:hAnsi="Questa-Regular"/>
          <w:iCs/>
          <w:color w:val="212529"/>
        </w:rPr>
        <w:t>.</w:t>
      </w:r>
      <w:r w:rsidRPr="000F788D">
        <w:rPr>
          <w:rFonts w:ascii="Questa-Regular" w:hAnsi="Questa-Regular"/>
          <w:iCs/>
          <w:color w:val="212529"/>
        </w:rPr>
        <w:t>.] og en afg</w:t>
      </w:r>
      <w:r w:rsidRPr="000F788D">
        <w:rPr>
          <w:rFonts w:ascii="Questa-Regular" w:hAnsi="Questa-Regular" w:hint="eastAsia"/>
          <w:iCs/>
          <w:color w:val="212529"/>
        </w:rPr>
        <w:t>ø</w:t>
      </w:r>
      <w:r w:rsidRPr="000F788D">
        <w:rPr>
          <w:rFonts w:ascii="Questa-Regular" w:hAnsi="Questa-Regular"/>
          <w:iCs/>
          <w:color w:val="212529"/>
        </w:rPr>
        <w:t>relse efter stk.</w:t>
      </w:r>
      <w:r w:rsidR="000F788D">
        <w:rPr>
          <w:rFonts w:ascii="Questa-Regular" w:hAnsi="Questa-Regular"/>
          <w:iCs/>
          <w:color w:val="212529"/>
        </w:rPr>
        <w:t xml:space="preserve"> </w:t>
      </w:r>
      <w:r w:rsidRPr="000F788D">
        <w:rPr>
          <w:rFonts w:ascii="Questa-Regular" w:hAnsi="Questa-Regular"/>
          <w:iCs/>
          <w:color w:val="212529"/>
        </w:rPr>
        <w:t>2, kan ikke p</w:t>
      </w:r>
      <w:r w:rsidRPr="000F788D">
        <w:rPr>
          <w:rFonts w:ascii="Questa-Regular" w:hAnsi="Questa-Regular" w:hint="eastAsia"/>
          <w:iCs/>
          <w:color w:val="212529"/>
        </w:rPr>
        <w:t>å</w:t>
      </w:r>
      <w:r w:rsidRPr="000F788D">
        <w:rPr>
          <w:rFonts w:ascii="Questa-Regular" w:hAnsi="Questa-Regular"/>
          <w:iCs/>
          <w:color w:val="212529"/>
        </w:rPr>
        <w:t xml:space="preserve">klages til Justitsministeriet. </w:t>
      </w:r>
    </w:p>
    <w:p w14:paraId="133B128A" w14:textId="6F3875C3" w:rsidR="000B4382" w:rsidRPr="000F788D" w:rsidRDefault="000B4382" w:rsidP="000F788D">
      <w:pPr>
        <w:pStyle w:val="kapiteloverskrift2"/>
        <w:tabs>
          <w:tab w:val="right" w:pos="7228"/>
        </w:tabs>
        <w:spacing w:before="0" w:beforeAutospacing="0" w:after="0" w:afterAutospacing="0" w:line="300" w:lineRule="auto"/>
        <w:ind w:firstLine="284"/>
        <w:jc w:val="both"/>
        <w:rPr>
          <w:rFonts w:ascii="Questa-Regular" w:hAnsi="Questa-Regular"/>
          <w:i/>
          <w:iCs/>
          <w:color w:val="212529"/>
        </w:rPr>
      </w:pPr>
      <w:r w:rsidRPr="000F788D">
        <w:rPr>
          <w:rFonts w:ascii="Questa-Regular" w:hAnsi="Questa-Regular"/>
          <w:i/>
          <w:iCs/>
          <w:color w:val="212529"/>
        </w:rPr>
        <w:t>Stk. 4</w:t>
      </w:r>
      <w:r w:rsidR="00CC3FC2" w:rsidRPr="000F788D">
        <w:rPr>
          <w:rFonts w:ascii="Questa-Regular" w:hAnsi="Questa-Regular"/>
          <w:i/>
          <w:iCs/>
          <w:color w:val="212529"/>
        </w:rPr>
        <w:t xml:space="preserve">. </w:t>
      </w:r>
      <w:r w:rsidR="00CC3FC2" w:rsidRPr="000F788D">
        <w:rPr>
          <w:rFonts w:ascii="Questa-Regular" w:hAnsi="Questa-Regular"/>
          <w:iCs/>
          <w:color w:val="212529"/>
        </w:rPr>
        <w:t xml:space="preserve">Videresendes </w:t>
      </w:r>
      <w:r w:rsidR="00A4367B" w:rsidRPr="000F788D">
        <w:rPr>
          <w:rFonts w:ascii="Questa-Regular" w:hAnsi="Questa-Regular"/>
          <w:iCs/>
          <w:color w:val="212529"/>
        </w:rPr>
        <w:t>en</w:t>
      </w:r>
      <w:r w:rsidR="00CC3FC2" w:rsidRPr="000F788D">
        <w:rPr>
          <w:rFonts w:ascii="Questa-Regular" w:hAnsi="Questa-Regular"/>
          <w:iCs/>
          <w:color w:val="212529"/>
        </w:rPr>
        <w:t xml:space="preserve"> sag om</w:t>
      </w:r>
      <w:r w:rsidR="00A4367B" w:rsidRPr="000F788D">
        <w:rPr>
          <w:rFonts w:ascii="Questa-Regular" w:hAnsi="Questa-Regular"/>
          <w:iCs/>
          <w:color w:val="212529"/>
        </w:rPr>
        <w:t xml:space="preserve"> personskade</w:t>
      </w:r>
      <w:r w:rsidRPr="000F788D">
        <w:rPr>
          <w:rFonts w:ascii="Questa-Regular" w:hAnsi="Questa-Regular"/>
          <w:iCs/>
          <w:color w:val="212529"/>
        </w:rPr>
        <w:t xml:space="preserve"> efter stk. 1, træffer Ulykkesforsikringsrådet afgørelse om godtgørelse og erstatning efter </w:t>
      </w:r>
      <w:r w:rsidR="00E51EF0" w:rsidRPr="000F788D">
        <w:rPr>
          <w:rFonts w:ascii="Questa-Regular" w:hAnsi="Questa-Regular"/>
          <w:iCs/>
          <w:color w:val="212529"/>
        </w:rPr>
        <w:t>a</w:t>
      </w:r>
      <w:r w:rsidRPr="000F788D">
        <w:rPr>
          <w:rFonts w:ascii="Questa-Regular" w:hAnsi="Questa-Regular"/>
          <w:iCs/>
          <w:color w:val="212529"/>
        </w:rPr>
        <w:t>rbejdss</w:t>
      </w:r>
      <w:r w:rsidR="00C17EA6" w:rsidRPr="000F788D">
        <w:rPr>
          <w:rFonts w:ascii="Questa-Regular" w:hAnsi="Questa-Regular"/>
          <w:iCs/>
          <w:color w:val="212529"/>
        </w:rPr>
        <w:t>kadeforsikringslovens kapitel 9-14</w:t>
      </w:r>
      <w:r w:rsidRPr="000F788D">
        <w:rPr>
          <w:rFonts w:ascii="Questa-Regular" w:hAnsi="Questa-Regular"/>
          <w:iCs/>
          <w:color w:val="212529"/>
        </w:rPr>
        <w:t>.</w:t>
      </w:r>
    </w:p>
    <w:p w14:paraId="63D48D85" w14:textId="77777777" w:rsidR="002F4D19" w:rsidRPr="000F788D" w:rsidRDefault="002F4D19" w:rsidP="000F788D">
      <w:pPr>
        <w:pStyle w:val="kapiteloverskrift2"/>
        <w:tabs>
          <w:tab w:val="right" w:pos="7228"/>
        </w:tabs>
        <w:spacing w:before="0" w:beforeAutospacing="0" w:after="0" w:afterAutospacing="0" w:line="300" w:lineRule="auto"/>
        <w:jc w:val="both"/>
        <w:rPr>
          <w:rFonts w:ascii="Questa-Regular" w:hAnsi="Questa-Regular"/>
          <w:iCs/>
          <w:color w:val="212529"/>
        </w:rPr>
      </w:pPr>
    </w:p>
    <w:p w14:paraId="6C4617EE" w14:textId="073D8C97" w:rsidR="00CE389D" w:rsidRPr="000F788D" w:rsidRDefault="002F4D19" w:rsidP="000F788D">
      <w:pPr>
        <w:pStyle w:val="stk2"/>
        <w:spacing w:before="0" w:beforeAutospacing="0" w:after="0" w:afterAutospacing="0" w:line="300" w:lineRule="auto"/>
        <w:ind w:firstLine="284"/>
        <w:jc w:val="both"/>
        <w:rPr>
          <w:rFonts w:ascii="Questa-Regular" w:hAnsi="Questa-Regular"/>
          <w:color w:val="212529"/>
        </w:rPr>
      </w:pPr>
      <w:r w:rsidRPr="000F788D">
        <w:rPr>
          <w:rFonts w:ascii="Questa-Regular" w:hAnsi="Questa-Regular"/>
          <w:b/>
          <w:iCs/>
          <w:color w:val="212529"/>
        </w:rPr>
        <w:t xml:space="preserve">§ </w:t>
      </w:r>
      <w:r w:rsidR="006E70F3" w:rsidRPr="000F788D">
        <w:rPr>
          <w:rFonts w:ascii="Questa-Regular" w:hAnsi="Questa-Regular"/>
          <w:b/>
          <w:iCs/>
          <w:color w:val="212529"/>
        </w:rPr>
        <w:t>8</w:t>
      </w:r>
      <w:r w:rsidRPr="000F788D">
        <w:rPr>
          <w:rFonts w:ascii="Questa-Regular" w:hAnsi="Questa-Regular"/>
          <w:b/>
          <w:iCs/>
          <w:color w:val="212529"/>
        </w:rPr>
        <w:t xml:space="preserve">. </w:t>
      </w:r>
      <w:r w:rsidRPr="000F788D">
        <w:rPr>
          <w:rFonts w:ascii="Questa-Regular" w:hAnsi="Questa-Regular"/>
          <w:color w:val="212529"/>
        </w:rPr>
        <w:t xml:space="preserve">Spørgsmål om anvendelse af denne bekendtgørelse, herunder anmeldelse af </w:t>
      </w:r>
      <w:r w:rsidR="005C0039" w:rsidRPr="000F788D">
        <w:rPr>
          <w:rFonts w:ascii="Questa-Regular" w:hAnsi="Questa-Regular"/>
          <w:color w:val="212529"/>
        </w:rPr>
        <w:t>person</w:t>
      </w:r>
      <w:r w:rsidRPr="000F788D">
        <w:rPr>
          <w:rFonts w:ascii="Questa-Regular" w:hAnsi="Questa-Regular"/>
          <w:color w:val="212529"/>
        </w:rPr>
        <w:t>skader, behandles af</w:t>
      </w:r>
      <w:r w:rsidR="00654C4D" w:rsidRPr="000F788D">
        <w:rPr>
          <w:rFonts w:ascii="Questa-Regular" w:hAnsi="Questa-Regular"/>
          <w:color w:val="212529"/>
        </w:rPr>
        <w:t xml:space="preserve"> Forsikringsenheden i Direktoratet for Kriminalforsorgen. Dette gør sig også gældende</w:t>
      </w:r>
      <w:r w:rsidR="00B6737F" w:rsidRPr="000F788D">
        <w:rPr>
          <w:rFonts w:ascii="Questa-Regular" w:hAnsi="Questa-Regular"/>
          <w:color w:val="212529"/>
        </w:rPr>
        <w:t>,</w:t>
      </w:r>
      <w:r w:rsidRPr="000F788D">
        <w:rPr>
          <w:rFonts w:ascii="Questa-Regular" w:hAnsi="Questa-Regular"/>
          <w:color w:val="212529"/>
        </w:rPr>
        <w:t xml:space="preserve"> </w:t>
      </w:r>
      <w:r w:rsidR="00654C4D" w:rsidRPr="000F788D">
        <w:rPr>
          <w:rFonts w:ascii="Questa-Regular" w:hAnsi="Questa-Regular"/>
          <w:color w:val="212529"/>
        </w:rPr>
        <w:t>h</w:t>
      </w:r>
      <w:r w:rsidRPr="000F788D">
        <w:rPr>
          <w:rFonts w:ascii="Questa-Regular" w:hAnsi="Questa-Regular"/>
          <w:color w:val="212529"/>
        </w:rPr>
        <w:t xml:space="preserve">vis </w:t>
      </w:r>
      <w:r w:rsidR="005C0039" w:rsidRPr="000F788D">
        <w:rPr>
          <w:rFonts w:ascii="Questa-Regular" w:hAnsi="Questa-Regular"/>
          <w:color w:val="212529"/>
        </w:rPr>
        <w:t>skadelidte</w:t>
      </w:r>
      <w:r w:rsidRPr="000F788D">
        <w:rPr>
          <w:rFonts w:ascii="Questa-Regular" w:hAnsi="Questa-Regular"/>
          <w:color w:val="212529"/>
        </w:rPr>
        <w:t xml:space="preserve"> </w:t>
      </w:r>
      <w:r w:rsidR="00CE078A" w:rsidRPr="000F788D">
        <w:rPr>
          <w:rFonts w:ascii="Questa-Regular" w:hAnsi="Questa-Regular"/>
          <w:color w:val="212529"/>
        </w:rPr>
        <w:t xml:space="preserve">er </w:t>
      </w:r>
      <w:r w:rsidRPr="000F788D">
        <w:rPr>
          <w:rFonts w:ascii="Questa-Regular" w:hAnsi="Questa-Regular"/>
          <w:color w:val="212529"/>
        </w:rPr>
        <w:t xml:space="preserve">anbragt i en institution m.v. </w:t>
      </w:r>
      <w:r w:rsidR="00B25F2A" w:rsidRPr="000F788D">
        <w:rPr>
          <w:rFonts w:ascii="Questa-Regular" w:hAnsi="Questa-Regular"/>
          <w:color w:val="212529"/>
        </w:rPr>
        <w:t>uden for fængsel eller arresthus på Færøerne eller i Danmark</w:t>
      </w:r>
      <w:r w:rsidRPr="000F788D">
        <w:rPr>
          <w:rFonts w:ascii="Questa-Regular" w:hAnsi="Questa-Regular"/>
          <w:color w:val="212529"/>
        </w:rPr>
        <w:t xml:space="preserve">, jf. § </w:t>
      </w:r>
      <w:r w:rsidR="002D0CA0" w:rsidRPr="000F788D">
        <w:rPr>
          <w:rFonts w:ascii="Questa-Regular" w:hAnsi="Questa-Regular"/>
          <w:color w:val="212529"/>
        </w:rPr>
        <w:t>7</w:t>
      </w:r>
      <w:r w:rsidRPr="000F788D">
        <w:rPr>
          <w:rFonts w:ascii="Questa-Regular" w:hAnsi="Questa-Regular"/>
          <w:color w:val="212529"/>
        </w:rPr>
        <w:t xml:space="preserve"> i bekendtgørelse</w:t>
      </w:r>
      <w:r w:rsidR="002D0CA0" w:rsidRPr="000F788D">
        <w:rPr>
          <w:rFonts w:ascii="Questa-Regular" w:hAnsi="Questa-Regular"/>
          <w:color w:val="212529"/>
        </w:rPr>
        <w:t xml:space="preserve"> for Færøerne</w:t>
      </w:r>
      <w:r w:rsidRPr="000F788D">
        <w:rPr>
          <w:rFonts w:ascii="Questa-Regular" w:hAnsi="Questa-Regular"/>
          <w:color w:val="212529"/>
        </w:rPr>
        <w:t xml:space="preserve"> om anbringelse af dømte i institution m.v. uden for fængsel eller arresthus (§ 78-bekendtgørelsen), medmindre andet aftales.</w:t>
      </w:r>
    </w:p>
    <w:p w14:paraId="581105E3" w14:textId="0174B7C2" w:rsidR="002F4D19" w:rsidRPr="000F788D" w:rsidRDefault="002F4D19" w:rsidP="000F788D">
      <w:pPr>
        <w:pStyle w:val="stk2"/>
        <w:spacing w:before="0" w:beforeAutospacing="0" w:after="0" w:afterAutospacing="0" w:line="300" w:lineRule="auto"/>
        <w:ind w:firstLine="284"/>
        <w:jc w:val="both"/>
        <w:rPr>
          <w:rFonts w:ascii="Questa-Regular" w:hAnsi="Questa-Regular"/>
          <w:color w:val="212529"/>
        </w:rPr>
      </w:pPr>
      <w:r w:rsidRPr="000F788D">
        <w:rPr>
          <w:rStyle w:val="stknr"/>
          <w:rFonts w:ascii="Questa-Regular" w:hAnsi="Questa-Regular"/>
          <w:i/>
          <w:iCs/>
          <w:color w:val="212529"/>
        </w:rPr>
        <w:lastRenderedPageBreak/>
        <w:t xml:space="preserve">Stk. </w:t>
      </w:r>
      <w:r w:rsidR="00CE389D" w:rsidRPr="000F788D">
        <w:rPr>
          <w:rStyle w:val="stknr"/>
          <w:rFonts w:ascii="Questa-Regular" w:hAnsi="Questa-Regular"/>
          <w:i/>
          <w:iCs/>
          <w:color w:val="212529"/>
        </w:rPr>
        <w:t>2</w:t>
      </w:r>
      <w:r w:rsidRPr="000F788D">
        <w:rPr>
          <w:rStyle w:val="stknr"/>
          <w:rFonts w:ascii="Questa-Regular" w:hAnsi="Questa-Regular"/>
          <w:i/>
          <w:iCs/>
          <w:color w:val="212529"/>
        </w:rPr>
        <w:t>.</w:t>
      </w:r>
      <w:r w:rsidR="00E366B7" w:rsidRPr="000F788D">
        <w:rPr>
          <w:rFonts w:ascii="Questa-Regular" w:hAnsi="Questa-Regular"/>
          <w:color w:val="212529"/>
        </w:rPr>
        <w:t xml:space="preserve"> Videresendes</w:t>
      </w:r>
      <w:r w:rsidRPr="000F788D">
        <w:rPr>
          <w:rFonts w:ascii="Questa-Regular" w:hAnsi="Questa-Regular"/>
          <w:color w:val="212529"/>
        </w:rPr>
        <w:t xml:space="preserve"> en</w:t>
      </w:r>
      <w:r w:rsidR="00E366B7" w:rsidRPr="000F788D">
        <w:rPr>
          <w:rFonts w:ascii="Questa-Regular" w:hAnsi="Questa-Regular"/>
          <w:color w:val="212529"/>
        </w:rPr>
        <w:t xml:space="preserve"> sag om</w:t>
      </w:r>
      <w:r w:rsidRPr="000F788D">
        <w:rPr>
          <w:rFonts w:ascii="Questa-Regular" w:hAnsi="Questa-Regular"/>
          <w:color w:val="212529"/>
        </w:rPr>
        <w:t xml:space="preserve"> </w:t>
      </w:r>
      <w:r w:rsidR="005C0039" w:rsidRPr="000F788D">
        <w:rPr>
          <w:rFonts w:ascii="Questa-Regular" w:hAnsi="Questa-Regular"/>
          <w:color w:val="212529"/>
        </w:rPr>
        <w:t>person</w:t>
      </w:r>
      <w:r w:rsidRPr="000F788D">
        <w:rPr>
          <w:rFonts w:ascii="Questa-Regular" w:hAnsi="Questa-Regular"/>
          <w:color w:val="212529"/>
        </w:rPr>
        <w:t xml:space="preserve">skade ikke, jf. § </w:t>
      </w:r>
      <w:r w:rsidR="005C0039" w:rsidRPr="000F788D">
        <w:rPr>
          <w:rFonts w:ascii="Questa-Regular" w:hAnsi="Questa-Regular"/>
          <w:color w:val="212529"/>
        </w:rPr>
        <w:t>7</w:t>
      </w:r>
      <w:r w:rsidRPr="000F788D">
        <w:rPr>
          <w:rFonts w:ascii="Questa-Regular" w:hAnsi="Questa-Regular"/>
          <w:color w:val="212529"/>
        </w:rPr>
        <w:t xml:space="preserve">, stk. 1, skal der gøres notat om </w:t>
      </w:r>
      <w:r w:rsidR="00E366B7" w:rsidRPr="000F788D">
        <w:rPr>
          <w:rFonts w:ascii="Questa-Regular" w:hAnsi="Questa-Regular"/>
          <w:color w:val="212529"/>
        </w:rPr>
        <w:t>person</w:t>
      </w:r>
      <w:r w:rsidRPr="000F788D">
        <w:rPr>
          <w:rFonts w:ascii="Questa-Regular" w:hAnsi="Questa-Regular"/>
          <w:color w:val="212529"/>
        </w:rPr>
        <w:t xml:space="preserve">skaden svarende til de oplysninger, der afgives til </w:t>
      </w:r>
      <w:r w:rsidR="00077AAC" w:rsidRPr="000F788D">
        <w:rPr>
          <w:rFonts w:ascii="Questa-Regular" w:hAnsi="Questa-Regular"/>
          <w:color w:val="212529"/>
        </w:rPr>
        <w:t>Ulykkesforsikringsrådet</w:t>
      </w:r>
      <w:r w:rsidR="00620011" w:rsidRPr="000F788D">
        <w:rPr>
          <w:rFonts w:ascii="Questa-Regular" w:hAnsi="Questa-Regular"/>
          <w:color w:val="212529"/>
        </w:rPr>
        <w:t>,</w:t>
      </w:r>
      <w:r w:rsidRPr="000F788D">
        <w:rPr>
          <w:rFonts w:ascii="Questa-Regular" w:hAnsi="Questa-Regular"/>
          <w:color w:val="212529"/>
        </w:rPr>
        <w:t xml:space="preserve"> ved at udfylde en anmeldelsesblanket, der opbevares i </w:t>
      </w:r>
      <w:r w:rsidR="009B4B16" w:rsidRPr="000F788D">
        <w:rPr>
          <w:rFonts w:ascii="Questa-Regular" w:hAnsi="Questa-Regular"/>
          <w:color w:val="212529"/>
        </w:rPr>
        <w:t>Forsikringsenheden i Direktoratet for Kriminalforsorgen</w:t>
      </w:r>
      <w:r w:rsidRPr="000F788D">
        <w:rPr>
          <w:rFonts w:ascii="Questa-Regular" w:hAnsi="Questa-Regular"/>
          <w:color w:val="212529"/>
        </w:rPr>
        <w:t>.</w:t>
      </w:r>
    </w:p>
    <w:p w14:paraId="201BBC32" w14:textId="77777777" w:rsidR="002F4D19" w:rsidRPr="000F788D" w:rsidRDefault="002F4D19" w:rsidP="000F788D">
      <w:pPr>
        <w:pStyle w:val="kapitel"/>
        <w:spacing w:before="400" w:beforeAutospacing="0" w:afterAutospacing="0" w:line="300" w:lineRule="auto"/>
        <w:jc w:val="center"/>
        <w:rPr>
          <w:rFonts w:ascii="Questa-Regular" w:hAnsi="Questa-Regular"/>
          <w:color w:val="212529"/>
        </w:rPr>
      </w:pPr>
      <w:r w:rsidRPr="000F788D">
        <w:rPr>
          <w:rFonts w:ascii="Questa-Regular" w:hAnsi="Questa-Regular"/>
          <w:color w:val="212529"/>
        </w:rPr>
        <w:t>Kapitel 3</w:t>
      </w:r>
    </w:p>
    <w:p w14:paraId="630F7EC3" w14:textId="77777777" w:rsidR="002F4D19" w:rsidRPr="000F788D" w:rsidRDefault="002F4D19" w:rsidP="000F788D">
      <w:pPr>
        <w:pStyle w:val="kapiteloverskrift2"/>
        <w:spacing w:before="0" w:beforeAutospacing="0" w:afterAutospacing="0" w:line="300" w:lineRule="auto"/>
        <w:jc w:val="center"/>
        <w:rPr>
          <w:rFonts w:ascii="Questa-Regular" w:hAnsi="Questa-Regular"/>
          <w:i/>
          <w:iCs/>
          <w:color w:val="212529"/>
        </w:rPr>
      </w:pPr>
      <w:r w:rsidRPr="000F788D">
        <w:rPr>
          <w:rFonts w:ascii="Questa-Regular" w:hAnsi="Questa-Regular"/>
          <w:i/>
          <w:iCs/>
          <w:color w:val="212529"/>
        </w:rPr>
        <w:t>Ikrafttræden mv.</w:t>
      </w:r>
    </w:p>
    <w:p w14:paraId="647EEC4F" w14:textId="75BA4D8A" w:rsidR="002F4D19" w:rsidRPr="000F788D" w:rsidRDefault="002F4D19" w:rsidP="000F788D">
      <w:pPr>
        <w:pStyle w:val="paragraf"/>
        <w:spacing w:before="200" w:beforeAutospacing="0" w:after="0" w:afterAutospacing="0" w:line="300" w:lineRule="auto"/>
        <w:ind w:firstLine="284"/>
        <w:rPr>
          <w:rFonts w:ascii="Questa-Regular" w:hAnsi="Questa-Regular"/>
          <w:color w:val="212529"/>
        </w:rPr>
      </w:pPr>
      <w:r w:rsidRPr="000F788D">
        <w:rPr>
          <w:rStyle w:val="paragrafnr"/>
          <w:rFonts w:ascii="Questa-Regular" w:eastAsiaTheme="majorEastAsia" w:hAnsi="Questa-Regular"/>
          <w:b/>
          <w:bCs/>
          <w:color w:val="212529"/>
        </w:rPr>
        <w:t>§ </w:t>
      </w:r>
      <w:r w:rsidR="000105B6" w:rsidRPr="000F788D">
        <w:rPr>
          <w:rStyle w:val="paragrafnr"/>
          <w:rFonts w:ascii="Questa-Regular" w:eastAsiaTheme="majorEastAsia" w:hAnsi="Questa-Regular"/>
          <w:b/>
          <w:bCs/>
          <w:color w:val="212529"/>
        </w:rPr>
        <w:t>9</w:t>
      </w:r>
      <w:r w:rsidRPr="000F788D">
        <w:rPr>
          <w:rStyle w:val="paragrafnr"/>
          <w:rFonts w:ascii="Questa-Regular" w:eastAsiaTheme="majorEastAsia" w:hAnsi="Questa-Regular"/>
          <w:b/>
          <w:bCs/>
          <w:color w:val="212529"/>
        </w:rPr>
        <w:t>.</w:t>
      </w:r>
      <w:r w:rsidRPr="000F788D">
        <w:rPr>
          <w:rFonts w:ascii="Questa-Regular" w:hAnsi="Questa-Regular"/>
          <w:color w:val="212529"/>
        </w:rPr>
        <w:t> Bekendtgørelsen træder i kraft</w:t>
      </w:r>
      <w:r w:rsidR="0095546A" w:rsidRPr="000F788D">
        <w:rPr>
          <w:rFonts w:ascii="Questa-Regular" w:hAnsi="Questa-Regular"/>
          <w:color w:val="212529"/>
        </w:rPr>
        <w:t xml:space="preserve"> den</w:t>
      </w:r>
      <w:r w:rsidRPr="000F788D">
        <w:rPr>
          <w:rFonts w:ascii="Questa-Regular" w:hAnsi="Questa-Regular"/>
          <w:color w:val="212529"/>
        </w:rPr>
        <w:t xml:space="preserve"> </w:t>
      </w:r>
      <w:r w:rsidR="002D0CA0" w:rsidRPr="000F788D">
        <w:rPr>
          <w:rFonts w:ascii="Questa-Regular" w:hAnsi="Questa-Regular"/>
          <w:color w:val="212529"/>
        </w:rPr>
        <w:t>1. juli 2023.</w:t>
      </w:r>
    </w:p>
    <w:p w14:paraId="743C7AFF" w14:textId="77777777" w:rsidR="002F4D19" w:rsidRPr="000F788D" w:rsidRDefault="002F4D19" w:rsidP="000F788D">
      <w:pPr>
        <w:jc w:val="center"/>
        <w:rPr>
          <w:b/>
          <w:szCs w:val="24"/>
        </w:rPr>
      </w:pPr>
    </w:p>
    <w:sectPr w:rsidR="002F4D19" w:rsidRPr="000F788D" w:rsidSect="009C7E3E"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1A56E" w14:textId="77777777" w:rsidR="00742457" w:rsidRDefault="00742457" w:rsidP="00D712BA">
      <w:pPr>
        <w:spacing w:line="240" w:lineRule="auto"/>
      </w:pPr>
      <w:r>
        <w:separator/>
      </w:r>
    </w:p>
  </w:endnote>
  <w:endnote w:type="continuationSeparator" w:id="0">
    <w:p w14:paraId="10A46744" w14:textId="77777777" w:rsidR="00742457" w:rsidRDefault="00742457" w:rsidP="00D71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a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8444" w:tblpY="15724"/>
      <w:tblOverlap w:val="never"/>
      <w:tblW w:w="14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</w:tblGrid>
    <w:tr w:rsidR="00751348" w14:paraId="3CED6C14" w14:textId="77777777" w:rsidTr="007112C6">
      <w:trPr>
        <w:trHeight w:val="255"/>
      </w:trPr>
      <w:tc>
        <w:tcPr>
          <w:tcW w:w="1418" w:type="dxa"/>
          <w:hideMark/>
        </w:tcPr>
        <w:p w14:paraId="12E6D7B1" w14:textId="506DDD64" w:rsidR="00751348" w:rsidRPr="006A1B98" w:rsidRDefault="007B13EB">
          <w:pPr>
            <w:pStyle w:val="Sidefod"/>
            <w:rPr>
              <w:sz w:val="16"/>
              <w:szCs w:val="16"/>
            </w:rPr>
          </w:pPr>
          <w:r w:rsidRPr="006A1B98">
            <w:rPr>
              <w:rStyle w:val="Sidetal"/>
              <w:sz w:val="16"/>
              <w:szCs w:val="16"/>
            </w:rPr>
            <w:fldChar w:fldCharType="begin"/>
          </w:r>
          <w:r w:rsidR="00751348" w:rsidRPr="006A1B98">
            <w:rPr>
              <w:rStyle w:val="Sidetal"/>
              <w:sz w:val="16"/>
              <w:szCs w:val="16"/>
            </w:rPr>
            <w:instrText xml:space="preserve"> PAGE </w:instrText>
          </w:r>
          <w:r w:rsidRPr="006A1B98">
            <w:rPr>
              <w:rStyle w:val="Sidetal"/>
              <w:sz w:val="16"/>
              <w:szCs w:val="16"/>
            </w:rPr>
            <w:fldChar w:fldCharType="separate"/>
          </w:r>
          <w:r w:rsidR="00B6737F">
            <w:rPr>
              <w:rStyle w:val="Sidetal"/>
              <w:noProof/>
              <w:sz w:val="16"/>
              <w:szCs w:val="16"/>
            </w:rPr>
            <w:t>3</w:t>
          </w:r>
          <w:r w:rsidRPr="006A1B98">
            <w:rPr>
              <w:rStyle w:val="Sidetal"/>
              <w:sz w:val="16"/>
              <w:szCs w:val="16"/>
            </w:rPr>
            <w:fldChar w:fldCharType="end"/>
          </w:r>
        </w:p>
      </w:tc>
    </w:tr>
  </w:tbl>
  <w:p w14:paraId="7B581FBE" w14:textId="77777777" w:rsidR="00751348" w:rsidRDefault="0075134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43E14" w14:textId="77777777" w:rsidR="00751348" w:rsidRDefault="00BD46A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474F84" wp14:editId="61C23027">
              <wp:simplePos x="0" y="0"/>
              <wp:positionH relativeFrom="page">
                <wp:posOffset>5688965</wp:posOffset>
              </wp:positionH>
              <wp:positionV relativeFrom="page">
                <wp:posOffset>8964930</wp:posOffset>
              </wp:positionV>
              <wp:extent cx="1235710" cy="1226820"/>
              <wp:effectExtent l="2540" t="190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710" cy="1226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E20A8" w14:textId="77777777" w:rsidR="00751348" w:rsidRDefault="00751348" w:rsidP="00F37EE9">
                          <w:pPr>
                            <w:spacing w:line="240" w:lineRule="auto"/>
                            <w:ind w:left="-68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Slotsholmsgade 10</w:t>
                          </w:r>
                        </w:p>
                        <w:p w14:paraId="25F7D1BB" w14:textId="77777777" w:rsidR="00751348" w:rsidRDefault="00751348" w:rsidP="00F37EE9">
                          <w:pPr>
                            <w:spacing w:line="240" w:lineRule="auto"/>
                            <w:ind w:left="-68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1216 København K.</w:t>
                          </w:r>
                        </w:p>
                        <w:p w14:paraId="2F35C0C9" w14:textId="77777777" w:rsidR="00751348" w:rsidRDefault="00751348" w:rsidP="00F37EE9">
                          <w:pPr>
                            <w:spacing w:line="240" w:lineRule="auto"/>
                            <w:ind w:left="-68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C31AE4B" w14:textId="77777777" w:rsidR="00751348" w:rsidRDefault="00751348" w:rsidP="007D7D56">
                          <w:pPr>
                            <w:tabs>
                              <w:tab w:val="left" w:pos="142"/>
                            </w:tabs>
                            <w:spacing w:line="240" w:lineRule="auto"/>
                            <w:ind w:left="-68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+45 </w:t>
                          </w:r>
                          <w:r w:rsidR="00AF6027">
                            <w:rPr>
                              <w:sz w:val="16"/>
                              <w:szCs w:val="16"/>
                            </w:rPr>
                            <w:t>7226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AF6027">
                            <w:rPr>
                              <w:sz w:val="16"/>
                              <w:szCs w:val="16"/>
                            </w:rPr>
                            <w:t>840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</w:p>
                        <w:p w14:paraId="58F853D4" w14:textId="77777777" w:rsidR="00751348" w:rsidRDefault="00751348" w:rsidP="007D7D56">
                          <w:pPr>
                            <w:tabs>
                              <w:tab w:val="left" w:pos="142"/>
                            </w:tabs>
                            <w:spacing w:line="240" w:lineRule="auto"/>
                            <w:ind w:left="-68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+45 3393 3510</w:t>
                          </w:r>
                        </w:p>
                        <w:p w14:paraId="49B4CB06" w14:textId="77777777" w:rsidR="00751348" w:rsidRDefault="00751348" w:rsidP="00F37EE9">
                          <w:pPr>
                            <w:tabs>
                              <w:tab w:val="left" w:pos="567"/>
                            </w:tabs>
                            <w:spacing w:line="240" w:lineRule="auto"/>
                            <w:ind w:left="-68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7DD8B4F" w14:textId="77777777" w:rsidR="00751348" w:rsidRDefault="00751348" w:rsidP="00F37EE9">
                          <w:pPr>
                            <w:spacing w:line="240" w:lineRule="auto"/>
                            <w:ind w:left="-68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www.justitsministeriet.dk</w:t>
                          </w:r>
                        </w:p>
                        <w:p w14:paraId="49361F47" w14:textId="77777777" w:rsidR="00751348" w:rsidRDefault="00751348" w:rsidP="00092308">
                          <w:pPr>
                            <w:spacing w:line="240" w:lineRule="auto"/>
                            <w:ind w:left="-68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jm@jm.dk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74F8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47.95pt;margin-top:705.9pt;width:97.3pt;height:96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7ShAIAABA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" stroked="f">
              <v:textbox>
                <w:txbxContent>
                  <w:p w14:paraId="71BE20A8" w14:textId="77777777" w:rsidR="00751348" w:rsidRDefault="00751348" w:rsidP="00F37EE9">
                    <w:pPr>
                      <w:spacing w:line="240" w:lineRule="auto"/>
                      <w:ind w:left="-68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Slotsholmsgade 10</w:t>
                    </w:r>
                  </w:p>
                  <w:p w14:paraId="25F7D1BB" w14:textId="77777777" w:rsidR="00751348" w:rsidRDefault="00751348" w:rsidP="00F37EE9">
                    <w:pPr>
                      <w:spacing w:line="240" w:lineRule="auto"/>
                      <w:ind w:left="-68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1216 København K.</w:t>
                    </w:r>
                  </w:p>
                  <w:p w14:paraId="2F35C0C9" w14:textId="77777777" w:rsidR="00751348" w:rsidRDefault="00751348" w:rsidP="00F37EE9">
                    <w:pPr>
                      <w:spacing w:line="240" w:lineRule="auto"/>
                      <w:ind w:left="-68"/>
                      <w:rPr>
                        <w:sz w:val="16"/>
                        <w:szCs w:val="16"/>
                      </w:rPr>
                    </w:pPr>
                  </w:p>
                  <w:p w14:paraId="3C31AE4B" w14:textId="77777777" w:rsidR="00751348" w:rsidRDefault="00751348" w:rsidP="007D7D56">
                    <w:pPr>
                      <w:tabs>
                        <w:tab w:val="left" w:pos="142"/>
                      </w:tabs>
                      <w:spacing w:line="240" w:lineRule="auto"/>
                      <w:ind w:left="-68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+45 </w:t>
                    </w:r>
                    <w:r w:rsidR="00AF6027">
                      <w:rPr>
                        <w:sz w:val="16"/>
                        <w:szCs w:val="16"/>
                      </w:rPr>
                      <w:t>7226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AF6027">
                      <w:rPr>
                        <w:sz w:val="16"/>
                        <w:szCs w:val="16"/>
                      </w:rPr>
                      <w:t>840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</w:p>
                  <w:p w14:paraId="58F853D4" w14:textId="77777777" w:rsidR="00751348" w:rsidRDefault="00751348" w:rsidP="007D7D56">
                    <w:pPr>
                      <w:tabs>
                        <w:tab w:val="left" w:pos="142"/>
                      </w:tabs>
                      <w:spacing w:line="240" w:lineRule="auto"/>
                      <w:ind w:left="-68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</w:t>
                    </w:r>
                    <w:r>
                      <w:rPr>
                        <w:sz w:val="16"/>
                        <w:szCs w:val="16"/>
                      </w:rPr>
                      <w:tab/>
                      <w:t>+45 3393 3510</w:t>
                    </w:r>
                  </w:p>
                  <w:p w14:paraId="49B4CB06" w14:textId="77777777" w:rsidR="00751348" w:rsidRDefault="00751348" w:rsidP="00F37EE9">
                    <w:pPr>
                      <w:tabs>
                        <w:tab w:val="left" w:pos="567"/>
                      </w:tabs>
                      <w:spacing w:line="240" w:lineRule="auto"/>
                      <w:ind w:left="-68"/>
                      <w:rPr>
                        <w:sz w:val="16"/>
                        <w:szCs w:val="16"/>
                      </w:rPr>
                    </w:pPr>
                  </w:p>
                  <w:p w14:paraId="37DD8B4F" w14:textId="77777777" w:rsidR="00751348" w:rsidRDefault="00751348" w:rsidP="00F37EE9">
                    <w:pPr>
                      <w:spacing w:line="240" w:lineRule="auto"/>
                      <w:ind w:left="-68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www.justitsministeriet.dk</w:t>
                    </w:r>
                  </w:p>
                  <w:p w14:paraId="49361F47" w14:textId="77777777" w:rsidR="00751348" w:rsidRDefault="00751348" w:rsidP="00092308">
                    <w:pPr>
                      <w:spacing w:line="240" w:lineRule="auto"/>
                      <w:ind w:left="-68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jm@jm.dk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A85E5" w14:textId="77777777" w:rsidR="00742457" w:rsidRDefault="00742457" w:rsidP="00D712BA">
      <w:pPr>
        <w:spacing w:line="240" w:lineRule="auto"/>
      </w:pPr>
      <w:r>
        <w:separator/>
      </w:r>
    </w:p>
  </w:footnote>
  <w:footnote w:type="continuationSeparator" w:id="0">
    <w:p w14:paraId="142614D5" w14:textId="77777777" w:rsidR="00742457" w:rsidRDefault="00742457" w:rsidP="00D712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5CA8D" w14:textId="19F42792" w:rsidR="00751348" w:rsidRDefault="00751348">
    <w:pPr>
      <w:pStyle w:val="Sidehoved"/>
    </w:pPr>
  </w:p>
  <w:p w14:paraId="0CF83A00" w14:textId="2635CCA6" w:rsidR="00751348" w:rsidRDefault="00751348">
    <w:pPr>
      <w:pStyle w:val="Sidehoved"/>
    </w:pPr>
  </w:p>
  <w:p w14:paraId="29D5BD03" w14:textId="183D9EE0" w:rsidR="00751348" w:rsidRDefault="00751348">
    <w:pPr>
      <w:pStyle w:val="Sidehoved"/>
    </w:pPr>
  </w:p>
  <w:p w14:paraId="07C0D99C" w14:textId="345DD32E" w:rsidR="00751348" w:rsidRDefault="00751348" w:rsidP="00B60A17">
    <w:pPr>
      <w:pStyle w:val="Sidehoved"/>
      <w:tabs>
        <w:tab w:val="clear" w:pos="4819"/>
        <w:tab w:val="clear" w:pos="9638"/>
        <w:tab w:val="left" w:pos="2070"/>
      </w:tabs>
    </w:pPr>
  </w:p>
  <w:p w14:paraId="0C68EE05" w14:textId="77777777" w:rsidR="00751348" w:rsidRDefault="00751348">
    <w:pPr>
      <w:pStyle w:val="Sidehoved"/>
    </w:pPr>
  </w:p>
  <w:p w14:paraId="30800012" w14:textId="77777777" w:rsidR="00751348" w:rsidRDefault="00751348">
    <w:pPr>
      <w:pStyle w:val="Sidehoved"/>
    </w:pPr>
  </w:p>
  <w:p w14:paraId="398F8C9B" w14:textId="77777777" w:rsidR="00751348" w:rsidRDefault="00751348">
    <w:pPr>
      <w:pStyle w:val="Sidehoved"/>
    </w:pPr>
  </w:p>
  <w:p w14:paraId="5311D685" w14:textId="77777777" w:rsidR="00751348" w:rsidRDefault="00751348">
    <w:pPr>
      <w:pStyle w:val="Sidehoved"/>
    </w:pPr>
  </w:p>
  <w:p w14:paraId="6E5F9FB4" w14:textId="77777777" w:rsidR="00751348" w:rsidRDefault="00751348">
    <w:pPr>
      <w:pStyle w:val="Sidehoved"/>
    </w:pPr>
  </w:p>
  <w:p w14:paraId="657EB21A" w14:textId="77777777" w:rsidR="00751348" w:rsidRDefault="00751348">
    <w:pPr>
      <w:pStyle w:val="Sidehoved"/>
    </w:pPr>
  </w:p>
  <w:p w14:paraId="48837712" w14:textId="77777777" w:rsidR="00751348" w:rsidRDefault="00751348">
    <w:pPr>
      <w:pStyle w:val="Sidehoved"/>
    </w:pPr>
  </w:p>
  <w:p w14:paraId="767BCF64" w14:textId="77777777" w:rsidR="00751348" w:rsidRDefault="00751348">
    <w:pPr>
      <w:pStyle w:val="Sidehoved"/>
    </w:pPr>
  </w:p>
  <w:p w14:paraId="06D03813" w14:textId="77777777" w:rsidR="00751348" w:rsidRDefault="00751348">
    <w:pPr>
      <w:pStyle w:val="Sidehoved"/>
    </w:pPr>
  </w:p>
  <w:p w14:paraId="7D03F768" w14:textId="77777777" w:rsidR="00751348" w:rsidRDefault="00751348">
    <w:pPr>
      <w:pStyle w:val="Sidehoved"/>
    </w:pPr>
  </w:p>
  <w:p w14:paraId="1C374E10" w14:textId="77777777" w:rsidR="00751348" w:rsidRDefault="00751348">
    <w:pPr>
      <w:pStyle w:val="Sidehoved"/>
    </w:pPr>
  </w:p>
  <w:p w14:paraId="10BA8A44" w14:textId="77777777" w:rsidR="00751348" w:rsidRDefault="00751348">
    <w:pPr>
      <w:pStyle w:val="Sidehoved"/>
    </w:pPr>
  </w:p>
  <w:p w14:paraId="5F570CFF" w14:textId="77777777" w:rsidR="00751348" w:rsidRDefault="00751348">
    <w:pPr>
      <w:pStyle w:val="Sidehoved"/>
    </w:pPr>
  </w:p>
  <w:p w14:paraId="299A789E" w14:textId="77777777" w:rsidR="00751348" w:rsidRDefault="00751348">
    <w:pPr>
      <w:pStyle w:val="Sidehoved"/>
    </w:pPr>
  </w:p>
  <w:p w14:paraId="2612010B" w14:textId="77777777" w:rsidR="00751348" w:rsidRDefault="00751348">
    <w:pPr>
      <w:pStyle w:val="Sidehoved"/>
    </w:pPr>
  </w:p>
  <w:p w14:paraId="1BBECCF4" w14:textId="77777777" w:rsidR="00751348" w:rsidRDefault="00751348" w:rsidP="00D712BA">
    <w:pPr>
      <w:pStyle w:val="Sidehoved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875"/>
    <w:multiLevelType w:val="hybridMultilevel"/>
    <w:tmpl w:val="176A9CA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25C00"/>
    <w:multiLevelType w:val="hybridMultilevel"/>
    <w:tmpl w:val="3E3861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E03A7"/>
    <w:multiLevelType w:val="hybridMultilevel"/>
    <w:tmpl w:val="789EC8BE"/>
    <w:lvl w:ilvl="0" w:tplc="B8AEA4F6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C4760"/>
    <w:multiLevelType w:val="hybridMultilevel"/>
    <w:tmpl w:val="082CE55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D0FF8"/>
    <w:multiLevelType w:val="hybridMultilevel"/>
    <w:tmpl w:val="9DE4D04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A3D5F"/>
    <w:multiLevelType w:val="hybridMultilevel"/>
    <w:tmpl w:val="07769392"/>
    <w:lvl w:ilvl="0" w:tplc="C3008FC0">
      <w:start w:val="1"/>
      <w:numFmt w:val="decimal"/>
      <w:lvlText w:val="%1"/>
      <w:lvlJc w:val="left"/>
      <w:pPr>
        <w:ind w:left="749" w:hanging="465"/>
      </w:pPr>
      <w:rPr>
        <w:rFonts w:ascii="Times New Roman" w:eastAsiaTheme="minorHAnsi" w:hAnsi="Times New Roman" w:cstheme="minorBidi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131AB1"/>
    <w:multiLevelType w:val="hybridMultilevel"/>
    <w:tmpl w:val="0CB032D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33245"/>
    <w:multiLevelType w:val="hybridMultilevel"/>
    <w:tmpl w:val="6BB6BAA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32BFA"/>
    <w:multiLevelType w:val="hybridMultilevel"/>
    <w:tmpl w:val="986285EA"/>
    <w:lvl w:ilvl="0" w:tplc="1854C4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AD649F"/>
    <w:multiLevelType w:val="hybridMultilevel"/>
    <w:tmpl w:val="14A6A5DC"/>
    <w:lvl w:ilvl="0" w:tplc="3604C592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077B0"/>
    <w:multiLevelType w:val="hybridMultilevel"/>
    <w:tmpl w:val="E5E63C00"/>
    <w:lvl w:ilvl="0" w:tplc="04060011">
      <w:start w:val="1"/>
      <w:numFmt w:val="decimal"/>
      <w:lvlText w:val="%1)"/>
      <w:lvlJc w:val="left"/>
      <w:pPr>
        <w:ind w:left="1140" w:hanging="360"/>
      </w:pPr>
    </w:lvl>
    <w:lvl w:ilvl="1" w:tplc="04060019" w:tentative="1">
      <w:start w:val="1"/>
      <w:numFmt w:val="lowerLetter"/>
      <w:lvlText w:val="%2."/>
      <w:lvlJc w:val="left"/>
      <w:pPr>
        <w:ind w:left="1860" w:hanging="360"/>
      </w:pPr>
    </w:lvl>
    <w:lvl w:ilvl="2" w:tplc="0406001B" w:tentative="1">
      <w:start w:val="1"/>
      <w:numFmt w:val="lowerRoman"/>
      <w:lvlText w:val="%3."/>
      <w:lvlJc w:val="right"/>
      <w:pPr>
        <w:ind w:left="2580" w:hanging="180"/>
      </w:pPr>
    </w:lvl>
    <w:lvl w:ilvl="3" w:tplc="0406000F" w:tentative="1">
      <w:start w:val="1"/>
      <w:numFmt w:val="decimal"/>
      <w:lvlText w:val="%4."/>
      <w:lvlJc w:val="left"/>
      <w:pPr>
        <w:ind w:left="3300" w:hanging="360"/>
      </w:pPr>
    </w:lvl>
    <w:lvl w:ilvl="4" w:tplc="04060019" w:tentative="1">
      <w:start w:val="1"/>
      <w:numFmt w:val="lowerLetter"/>
      <w:lvlText w:val="%5."/>
      <w:lvlJc w:val="left"/>
      <w:pPr>
        <w:ind w:left="4020" w:hanging="360"/>
      </w:pPr>
    </w:lvl>
    <w:lvl w:ilvl="5" w:tplc="0406001B" w:tentative="1">
      <w:start w:val="1"/>
      <w:numFmt w:val="lowerRoman"/>
      <w:lvlText w:val="%6."/>
      <w:lvlJc w:val="right"/>
      <w:pPr>
        <w:ind w:left="4740" w:hanging="180"/>
      </w:pPr>
    </w:lvl>
    <w:lvl w:ilvl="6" w:tplc="0406000F" w:tentative="1">
      <w:start w:val="1"/>
      <w:numFmt w:val="decimal"/>
      <w:lvlText w:val="%7."/>
      <w:lvlJc w:val="left"/>
      <w:pPr>
        <w:ind w:left="5460" w:hanging="360"/>
      </w:pPr>
    </w:lvl>
    <w:lvl w:ilvl="7" w:tplc="04060019" w:tentative="1">
      <w:start w:val="1"/>
      <w:numFmt w:val="lowerLetter"/>
      <w:lvlText w:val="%8."/>
      <w:lvlJc w:val="left"/>
      <w:pPr>
        <w:ind w:left="6180" w:hanging="360"/>
      </w:pPr>
    </w:lvl>
    <w:lvl w:ilvl="8" w:tplc="040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30B5218"/>
    <w:multiLevelType w:val="hybridMultilevel"/>
    <w:tmpl w:val="4C2C9088"/>
    <w:lvl w:ilvl="0" w:tplc="7F82FC14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33A1C52"/>
    <w:multiLevelType w:val="hybridMultilevel"/>
    <w:tmpl w:val="A3BAB4EC"/>
    <w:lvl w:ilvl="0" w:tplc="4F281DA4">
      <w:start w:val="1"/>
      <w:numFmt w:val="decimal"/>
      <w:lvlText w:val="%1)"/>
      <w:lvlJc w:val="left"/>
      <w:pPr>
        <w:ind w:left="749" w:hanging="46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5BC586E"/>
    <w:multiLevelType w:val="hybridMultilevel"/>
    <w:tmpl w:val="9C30667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412F5"/>
    <w:multiLevelType w:val="hybridMultilevel"/>
    <w:tmpl w:val="255EF51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D4EF4"/>
    <w:multiLevelType w:val="hybridMultilevel"/>
    <w:tmpl w:val="D8D4CF90"/>
    <w:lvl w:ilvl="0" w:tplc="6E1E0B96">
      <w:start w:val="1"/>
      <w:numFmt w:val="decimal"/>
      <w:lvlText w:val="%1)"/>
      <w:lvlJc w:val="left"/>
      <w:pPr>
        <w:ind w:left="7590" w:hanging="723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A25A3"/>
    <w:multiLevelType w:val="hybridMultilevel"/>
    <w:tmpl w:val="563E187E"/>
    <w:lvl w:ilvl="0" w:tplc="0F1AC9E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20" w:hanging="360"/>
      </w:pPr>
    </w:lvl>
    <w:lvl w:ilvl="2" w:tplc="0406001B" w:tentative="1">
      <w:start w:val="1"/>
      <w:numFmt w:val="lowerRoman"/>
      <w:lvlText w:val="%3."/>
      <w:lvlJc w:val="right"/>
      <w:pPr>
        <w:ind w:left="2040" w:hanging="180"/>
      </w:pPr>
    </w:lvl>
    <w:lvl w:ilvl="3" w:tplc="0406000F" w:tentative="1">
      <w:start w:val="1"/>
      <w:numFmt w:val="decimal"/>
      <w:lvlText w:val="%4."/>
      <w:lvlJc w:val="left"/>
      <w:pPr>
        <w:ind w:left="2760" w:hanging="360"/>
      </w:pPr>
    </w:lvl>
    <w:lvl w:ilvl="4" w:tplc="04060019" w:tentative="1">
      <w:start w:val="1"/>
      <w:numFmt w:val="lowerLetter"/>
      <w:lvlText w:val="%5."/>
      <w:lvlJc w:val="left"/>
      <w:pPr>
        <w:ind w:left="3480" w:hanging="360"/>
      </w:pPr>
    </w:lvl>
    <w:lvl w:ilvl="5" w:tplc="0406001B" w:tentative="1">
      <w:start w:val="1"/>
      <w:numFmt w:val="lowerRoman"/>
      <w:lvlText w:val="%6."/>
      <w:lvlJc w:val="right"/>
      <w:pPr>
        <w:ind w:left="4200" w:hanging="180"/>
      </w:pPr>
    </w:lvl>
    <w:lvl w:ilvl="6" w:tplc="0406000F" w:tentative="1">
      <w:start w:val="1"/>
      <w:numFmt w:val="decimal"/>
      <w:lvlText w:val="%7."/>
      <w:lvlJc w:val="left"/>
      <w:pPr>
        <w:ind w:left="4920" w:hanging="360"/>
      </w:pPr>
    </w:lvl>
    <w:lvl w:ilvl="7" w:tplc="04060019" w:tentative="1">
      <w:start w:val="1"/>
      <w:numFmt w:val="lowerLetter"/>
      <w:lvlText w:val="%8."/>
      <w:lvlJc w:val="left"/>
      <w:pPr>
        <w:ind w:left="5640" w:hanging="360"/>
      </w:pPr>
    </w:lvl>
    <w:lvl w:ilvl="8" w:tplc="040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78633CE1"/>
    <w:multiLevelType w:val="hybridMultilevel"/>
    <w:tmpl w:val="CC0C800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159E2"/>
    <w:multiLevelType w:val="hybridMultilevel"/>
    <w:tmpl w:val="8D2A178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8121D"/>
    <w:multiLevelType w:val="hybridMultilevel"/>
    <w:tmpl w:val="8AD233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12"/>
  </w:num>
  <w:num w:numId="5">
    <w:abstractNumId w:val="8"/>
  </w:num>
  <w:num w:numId="6">
    <w:abstractNumId w:val="13"/>
  </w:num>
  <w:num w:numId="7">
    <w:abstractNumId w:val="17"/>
  </w:num>
  <w:num w:numId="8">
    <w:abstractNumId w:val="4"/>
  </w:num>
  <w:num w:numId="9">
    <w:abstractNumId w:val="18"/>
  </w:num>
  <w:num w:numId="10">
    <w:abstractNumId w:val="10"/>
  </w:num>
  <w:num w:numId="11">
    <w:abstractNumId w:val="3"/>
  </w:num>
  <w:num w:numId="12">
    <w:abstractNumId w:val="6"/>
  </w:num>
  <w:num w:numId="13">
    <w:abstractNumId w:val="0"/>
  </w:num>
  <w:num w:numId="14">
    <w:abstractNumId w:val="5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D19"/>
    <w:rsid w:val="000105B6"/>
    <w:rsid w:val="00017296"/>
    <w:rsid w:val="00017E19"/>
    <w:rsid w:val="00043B34"/>
    <w:rsid w:val="00077AAC"/>
    <w:rsid w:val="00092308"/>
    <w:rsid w:val="000B4382"/>
    <w:rsid w:val="000B5607"/>
    <w:rsid w:val="000C0A5E"/>
    <w:rsid w:val="000C52E2"/>
    <w:rsid w:val="000D052E"/>
    <w:rsid w:val="000F788D"/>
    <w:rsid w:val="00100CC7"/>
    <w:rsid w:val="0013238A"/>
    <w:rsid w:val="001435E4"/>
    <w:rsid w:val="00150B87"/>
    <w:rsid w:val="001741FA"/>
    <w:rsid w:val="001D1AF2"/>
    <w:rsid w:val="0021689A"/>
    <w:rsid w:val="00236F22"/>
    <w:rsid w:val="0024639C"/>
    <w:rsid w:val="00275CD7"/>
    <w:rsid w:val="0028319D"/>
    <w:rsid w:val="00297E57"/>
    <w:rsid w:val="002A65D5"/>
    <w:rsid w:val="002B21BA"/>
    <w:rsid w:val="002C77A2"/>
    <w:rsid w:val="002D038D"/>
    <w:rsid w:val="002D0CA0"/>
    <w:rsid w:val="002E631B"/>
    <w:rsid w:val="002F4D19"/>
    <w:rsid w:val="00317ADD"/>
    <w:rsid w:val="0032303D"/>
    <w:rsid w:val="00325A4F"/>
    <w:rsid w:val="003264C9"/>
    <w:rsid w:val="00335B35"/>
    <w:rsid w:val="00345A85"/>
    <w:rsid w:val="003526CD"/>
    <w:rsid w:val="00360995"/>
    <w:rsid w:val="003911C4"/>
    <w:rsid w:val="003A14A8"/>
    <w:rsid w:val="003B174B"/>
    <w:rsid w:val="003B4EED"/>
    <w:rsid w:val="003C0F5A"/>
    <w:rsid w:val="003D4F0A"/>
    <w:rsid w:val="003E23A0"/>
    <w:rsid w:val="003E474B"/>
    <w:rsid w:val="003E6F1B"/>
    <w:rsid w:val="003F17B2"/>
    <w:rsid w:val="00440C5E"/>
    <w:rsid w:val="00450BA6"/>
    <w:rsid w:val="004549B6"/>
    <w:rsid w:val="00466CFB"/>
    <w:rsid w:val="004874A6"/>
    <w:rsid w:val="00493E75"/>
    <w:rsid w:val="00496F54"/>
    <w:rsid w:val="004A67CC"/>
    <w:rsid w:val="004B2B00"/>
    <w:rsid w:val="004B309A"/>
    <w:rsid w:val="004D3A47"/>
    <w:rsid w:val="004E3D3D"/>
    <w:rsid w:val="00501E01"/>
    <w:rsid w:val="00534E2B"/>
    <w:rsid w:val="00537312"/>
    <w:rsid w:val="005512C2"/>
    <w:rsid w:val="00561528"/>
    <w:rsid w:val="005931A1"/>
    <w:rsid w:val="005C0039"/>
    <w:rsid w:val="005D7B0B"/>
    <w:rsid w:val="005E04AE"/>
    <w:rsid w:val="005F35D5"/>
    <w:rsid w:val="00620011"/>
    <w:rsid w:val="00620D90"/>
    <w:rsid w:val="00644E1D"/>
    <w:rsid w:val="006509DB"/>
    <w:rsid w:val="00654C4D"/>
    <w:rsid w:val="0066279D"/>
    <w:rsid w:val="0066742B"/>
    <w:rsid w:val="006766DC"/>
    <w:rsid w:val="0068659A"/>
    <w:rsid w:val="006A1B98"/>
    <w:rsid w:val="006A3B04"/>
    <w:rsid w:val="006B6177"/>
    <w:rsid w:val="006E0E3D"/>
    <w:rsid w:val="006E6C85"/>
    <w:rsid w:val="006E70F3"/>
    <w:rsid w:val="0070672C"/>
    <w:rsid w:val="007112C6"/>
    <w:rsid w:val="00711787"/>
    <w:rsid w:val="007162AF"/>
    <w:rsid w:val="00720979"/>
    <w:rsid w:val="007270E1"/>
    <w:rsid w:val="00737F23"/>
    <w:rsid w:val="00742457"/>
    <w:rsid w:val="00751348"/>
    <w:rsid w:val="007774AE"/>
    <w:rsid w:val="00787D82"/>
    <w:rsid w:val="007B13EB"/>
    <w:rsid w:val="007B1B35"/>
    <w:rsid w:val="007B5D58"/>
    <w:rsid w:val="007C27DC"/>
    <w:rsid w:val="007D2EA0"/>
    <w:rsid w:val="007D7D56"/>
    <w:rsid w:val="007E28E8"/>
    <w:rsid w:val="00802415"/>
    <w:rsid w:val="008029AB"/>
    <w:rsid w:val="008165C2"/>
    <w:rsid w:val="00816AB3"/>
    <w:rsid w:val="00825AAE"/>
    <w:rsid w:val="00882E68"/>
    <w:rsid w:val="008A6E21"/>
    <w:rsid w:val="008C4B2D"/>
    <w:rsid w:val="008C5F41"/>
    <w:rsid w:val="00927CB2"/>
    <w:rsid w:val="009327FC"/>
    <w:rsid w:val="0095546A"/>
    <w:rsid w:val="0097150B"/>
    <w:rsid w:val="009B329E"/>
    <w:rsid w:val="009B4B16"/>
    <w:rsid w:val="009C6DB6"/>
    <w:rsid w:val="009C7E3E"/>
    <w:rsid w:val="009E38F7"/>
    <w:rsid w:val="00A06563"/>
    <w:rsid w:val="00A10FC4"/>
    <w:rsid w:val="00A233FC"/>
    <w:rsid w:val="00A321E8"/>
    <w:rsid w:val="00A4367B"/>
    <w:rsid w:val="00A43E8F"/>
    <w:rsid w:val="00A64DBF"/>
    <w:rsid w:val="00A74311"/>
    <w:rsid w:val="00A74517"/>
    <w:rsid w:val="00A846E0"/>
    <w:rsid w:val="00A9559F"/>
    <w:rsid w:val="00AA412E"/>
    <w:rsid w:val="00AB22EE"/>
    <w:rsid w:val="00AC63FC"/>
    <w:rsid w:val="00AD2ED5"/>
    <w:rsid w:val="00AD68C6"/>
    <w:rsid w:val="00AE54CA"/>
    <w:rsid w:val="00AE6551"/>
    <w:rsid w:val="00AE6E03"/>
    <w:rsid w:val="00AE79FC"/>
    <w:rsid w:val="00AF6027"/>
    <w:rsid w:val="00B2539C"/>
    <w:rsid w:val="00B25F2A"/>
    <w:rsid w:val="00B2643F"/>
    <w:rsid w:val="00B347BE"/>
    <w:rsid w:val="00B60A17"/>
    <w:rsid w:val="00B661A8"/>
    <w:rsid w:val="00B6737F"/>
    <w:rsid w:val="00B74844"/>
    <w:rsid w:val="00BC0F10"/>
    <w:rsid w:val="00BC1CB9"/>
    <w:rsid w:val="00BC292B"/>
    <w:rsid w:val="00BD46A3"/>
    <w:rsid w:val="00BF51BA"/>
    <w:rsid w:val="00C00ABA"/>
    <w:rsid w:val="00C103B6"/>
    <w:rsid w:val="00C1743B"/>
    <w:rsid w:val="00C17EA6"/>
    <w:rsid w:val="00C37A99"/>
    <w:rsid w:val="00C61040"/>
    <w:rsid w:val="00C63028"/>
    <w:rsid w:val="00C901BA"/>
    <w:rsid w:val="00C96E54"/>
    <w:rsid w:val="00CB4B2A"/>
    <w:rsid w:val="00CC3FC2"/>
    <w:rsid w:val="00CD05D8"/>
    <w:rsid w:val="00CD0C0F"/>
    <w:rsid w:val="00CD4695"/>
    <w:rsid w:val="00CE078A"/>
    <w:rsid w:val="00CE389D"/>
    <w:rsid w:val="00CE5137"/>
    <w:rsid w:val="00CE5965"/>
    <w:rsid w:val="00CF7949"/>
    <w:rsid w:val="00D31F3A"/>
    <w:rsid w:val="00D36136"/>
    <w:rsid w:val="00D45314"/>
    <w:rsid w:val="00D712BA"/>
    <w:rsid w:val="00D719C6"/>
    <w:rsid w:val="00D866EF"/>
    <w:rsid w:val="00D914D4"/>
    <w:rsid w:val="00D918A2"/>
    <w:rsid w:val="00D92A2A"/>
    <w:rsid w:val="00DA2B91"/>
    <w:rsid w:val="00DA549F"/>
    <w:rsid w:val="00DA610D"/>
    <w:rsid w:val="00DB2E1A"/>
    <w:rsid w:val="00DD7E20"/>
    <w:rsid w:val="00DF40DA"/>
    <w:rsid w:val="00DF6602"/>
    <w:rsid w:val="00E126EB"/>
    <w:rsid w:val="00E366B7"/>
    <w:rsid w:val="00E37274"/>
    <w:rsid w:val="00E51EF0"/>
    <w:rsid w:val="00E71BA5"/>
    <w:rsid w:val="00E76780"/>
    <w:rsid w:val="00E82AE5"/>
    <w:rsid w:val="00E83A4C"/>
    <w:rsid w:val="00E94CBE"/>
    <w:rsid w:val="00EA074E"/>
    <w:rsid w:val="00EC5A0F"/>
    <w:rsid w:val="00EE2B5D"/>
    <w:rsid w:val="00F000A6"/>
    <w:rsid w:val="00F00F7A"/>
    <w:rsid w:val="00F12CF6"/>
    <w:rsid w:val="00F16342"/>
    <w:rsid w:val="00F17680"/>
    <w:rsid w:val="00F37EE9"/>
    <w:rsid w:val="00F444CE"/>
    <w:rsid w:val="00F73009"/>
    <w:rsid w:val="00F74C84"/>
    <w:rsid w:val="00F85476"/>
    <w:rsid w:val="00F922FC"/>
    <w:rsid w:val="00F957EF"/>
    <w:rsid w:val="00FA78F7"/>
    <w:rsid w:val="00FB1859"/>
    <w:rsid w:val="00FB2485"/>
    <w:rsid w:val="00FC7419"/>
    <w:rsid w:val="00FF0281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9B154B"/>
  <w15:docId w15:val="{48602BEF-FCA0-402F-96ED-11F7205A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8C6"/>
    <w:pPr>
      <w:spacing w:after="0" w:line="300" w:lineRule="auto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6563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06563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0656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06563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A10FC4"/>
    <w:pPr>
      <w:spacing w:before="240" w:after="6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10FC4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10FC4"/>
    <w:pPr>
      <w:numPr>
        <w:ilvl w:val="1"/>
      </w:numPr>
      <w:spacing w:after="60"/>
      <w:outlineLvl w:val="1"/>
    </w:pPr>
    <w:rPr>
      <w:rFonts w:eastAsiaTheme="majorEastAsia" w:cstheme="majorBidi"/>
      <w:iCs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10FC4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D712B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12BA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nhideWhenUsed/>
    <w:rsid w:val="00D712B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D712BA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1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12BA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semiHidden/>
    <w:unhideWhenUsed/>
    <w:rsid w:val="005931A1"/>
  </w:style>
  <w:style w:type="paragraph" w:styleId="Citat">
    <w:name w:val="Quote"/>
    <w:basedOn w:val="Normal"/>
    <w:next w:val="Normal"/>
    <w:link w:val="CitatTegn"/>
    <w:uiPriority w:val="29"/>
    <w:qFormat/>
    <w:rsid w:val="00450BA6"/>
    <w:pPr>
      <w:ind w:left="567" w:right="567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50BA6"/>
    <w:rPr>
      <w:rFonts w:ascii="Times New Roman" w:hAnsi="Times New Roman"/>
      <w:i/>
      <w:iCs/>
      <w:color w:val="000000" w:themeColor="text1"/>
      <w:sz w:val="24"/>
    </w:rPr>
  </w:style>
  <w:style w:type="character" w:styleId="Hyperlink">
    <w:name w:val="Hyperlink"/>
    <w:basedOn w:val="Standardskrifttypeiafsnit"/>
    <w:uiPriority w:val="99"/>
    <w:unhideWhenUsed/>
    <w:rsid w:val="00092308"/>
    <w:rPr>
      <w:color w:val="0000FF" w:themeColor="hyperlink"/>
      <w:u w:val="single"/>
    </w:rPr>
  </w:style>
  <w:style w:type="table" w:customStyle="1" w:styleId="IndreTabel">
    <w:name w:val="IndreTabel"/>
    <w:basedOn w:val="Tabel-Normal"/>
    <w:uiPriority w:val="99"/>
    <w:rsid w:val="003B174B"/>
    <w:pPr>
      <w:spacing w:after="0" w:line="240" w:lineRule="auto"/>
    </w:pPr>
    <w:tblPr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paragraph" w:customStyle="1" w:styleId="IndreTabelTekstVenstre">
    <w:name w:val="IndreTabelTekstVenstre"/>
    <w:basedOn w:val="Normal"/>
    <w:rsid w:val="003B174B"/>
    <w:pPr>
      <w:spacing w:line="150" w:lineRule="atLeast"/>
      <w:jc w:val="left"/>
    </w:pPr>
    <w:rPr>
      <w:sz w:val="14"/>
    </w:rPr>
  </w:style>
  <w:style w:type="paragraph" w:customStyle="1" w:styleId="IndreTabelTekstHjre">
    <w:name w:val="IndreTabelTekstHøjre"/>
    <w:basedOn w:val="IndreTabelTekstVenstre"/>
    <w:rsid w:val="003B174B"/>
    <w:pPr>
      <w:jc w:val="right"/>
    </w:pPr>
  </w:style>
  <w:style w:type="paragraph" w:customStyle="1" w:styleId="IndreTabelOverskriftHjre">
    <w:name w:val="IndreTabelOverskriftHøjre"/>
    <w:basedOn w:val="IndreTabelTekstHjre"/>
    <w:rsid w:val="003B174B"/>
    <w:rPr>
      <w:b/>
    </w:rPr>
  </w:style>
  <w:style w:type="paragraph" w:customStyle="1" w:styleId="IndreTabelOverskriftVenstre">
    <w:name w:val="IndreTabelOverskriftVenstre"/>
    <w:basedOn w:val="IndreTabelTekstVenstre"/>
    <w:rsid w:val="003B174B"/>
    <w:rPr>
      <w:i/>
    </w:rPr>
  </w:style>
  <w:style w:type="paragraph" w:customStyle="1" w:styleId="IndreTabelUnderoverskriftHjre">
    <w:name w:val="IndreTabelUnderoverskriftHøjre"/>
    <w:basedOn w:val="IndreTabelTekstHjre"/>
    <w:rsid w:val="003B174B"/>
    <w:rPr>
      <w:b/>
    </w:rPr>
  </w:style>
  <w:style w:type="paragraph" w:customStyle="1" w:styleId="IndreTabelUnderoverskriftVenstre">
    <w:name w:val="IndreTabelUnderoverskriftVenstre"/>
    <w:basedOn w:val="IndreTabelTekstVenstre"/>
    <w:rsid w:val="003B174B"/>
    <w:rPr>
      <w:b/>
    </w:rPr>
  </w:style>
  <w:style w:type="paragraph" w:customStyle="1" w:styleId="TabelKilde">
    <w:name w:val="TabelKilde"/>
    <w:basedOn w:val="Normal"/>
    <w:rsid w:val="003B174B"/>
    <w:pPr>
      <w:ind w:left="227" w:right="227"/>
    </w:pPr>
    <w:rPr>
      <w:color w:val="000000"/>
      <w:sz w:val="14"/>
    </w:rPr>
  </w:style>
  <w:style w:type="paragraph" w:customStyle="1" w:styleId="TabelOverskrift">
    <w:name w:val="TabelOverskrift"/>
    <w:basedOn w:val="Normal"/>
    <w:rsid w:val="003B174B"/>
    <w:pPr>
      <w:spacing w:after="210" w:line="210" w:lineRule="atLeast"/>
      <w:ind w:left="227" w:right="227"/>
    </w:pPr>
    <w:rPr>
      <w:b/>
      <w:color w:val="000000"/>
      <w:sz w:val="14"/>
    </w:rPr>
  </w:style>
  <w:style w:type="paragraph" w:customStyle="1" w:styleId="TabelTitel">
    <w:name w:val="TabelTitel"/>
    <w:basedOn w:val="Normal"/>
    <w:rsid w:val="003B174B"/>
    <w:pPr>
      <w:spacing w:before="170" w:line="230" w:lineRule="atLeast"/>
      <w:ind w:left="227" w:right="227"/>
    </w:pPr>
    <w:rPr>
      <w:b/>
      <w:color w:val="031D5C"/>
      <w:sz w:val="15"/>
    </w:rPr>
  </w:style>
  <w:style w:type="table" w:customStyle="1" w:styleId="YdreTabel">
    <w:name w:val="YdreTabel"/>
    <w:basedOn w:val="Tabel-Normal"/>
    <w:uiPriority w:val="99"/>
    <w:rsid w:val="003B174B"/>
    <w:pPr>
      <w:spacing w:after="0" w:line="240" w:lineRule="auto"/>
    </w:pPr>
    <w:rPr>
      <w:rFonts w:ascii="Times New Roman" w:hAnsi="Times New Roman"/>
      <w:sz w:val="14"/>
    </w:rPr>
    <w:tblPr>
      <w:tblStyleRowBandSize w:val="1"/>
      <w:tblBorders>
        <w:top w:val="single" w:sz="4" w:space="0" w:color="auto"/>
      </w:tblBorders>
      <w:tblCellMar>
        <w:left w:w="0" w:type="dxa"/>
        <w:right w:w="0" w:type="dxa"/>
      </w:tblCellMar>
    </w:tblPr>
    <w:tcPr>
      <w:shd w:val="clear" w:color="auto" w:fill="F9F8E0"/>
    </w:tcPr>
    <w:tblStylePr w:type="firstRow">
      <w:tblPr/>
      <w:tcPr>
        <w:shd w:val="clear" w:color="auto" w:fill="F9F8E0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9F8E0"/>
      </w:tcPr>
    </w:tblStylePr>
    <w:tblStylePr w:type="band1Horz">
      <w:tblPr/>
      <w:tcPr>
        <w:shd w:val="clear" w:color="auto" w:fill="F9F8E0"/>
      </w:tcPr>
    </w:tblStylePr>
    <w:tblStylePr w:type="band2Horz">
      <w:tblPr/>
      <w:tcPr>
        <w:shd w:val="clear" w:color="auto" w:fill="F9F8E0"/>
      </w:tcPr>
    </w:tblStylePr>
  </w:style>
  <w:style w:type="character" w:styleId="Pladsholdertekst">
    <w:name w:val="Placeholder Text"/>
    <w:basedOn w:val="Standardskrifttypeiafsnit"/>
    <w:uiPriority w:val="99"/>
    <w:semiHidden/>
    <w:rsid w:val="00EA074E"/>
    <w:rPr>
      <w:color w:val="808080"/>
    </w:rPr>
  </w:style>
  <w:style w:type="paragraph" w:customStyle="1" w:styleId="indledning2">
    <w:name w:val="indledning2"/>
    <w:basedOn w:val="Normal"/>
    <w:rsid w:val="002F4D1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a-DK"/>
    </w:rPr>
  </w:style>
  <w:style w:type="paragraph" w:customStyle="1" w:styleId="kapitel">
    <w:name w:val="kapitel"/>
    <w:basedOn w:val="Normal"/>
    <w:rsid w:val="002F4D1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a-DK"/>
    </w:rPr>
  </w:style>
  <w:style w:type="paragraph" w:customStyle="1" w:styleId="kapiteloverskrift2">
    <w:name w:val="kapiteloverskrift2"/>
    <w:basedOn w:val="Normal"/>
    <w:rsid w:val="002F4D1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a-DK"/>
    </w:rPr>
  </w:style>
  <w:style w:type="paragraph" w:customStyle="1" w:styleId="paragraf">
    <w:name w:val="paragraf"/>
    <w:basedOn w:val="Normal"/>
    <w:rsid w:val="002F4D1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a-DK"/>
    </w:rPr>
  </w:style>
  <w:style w:type="character" w:customStyle="1" w:styleId="paragrafnr">
    <w:name w:val="paragrafnr"/>
    <w:basedOn w:val="Standardskrifttypeiafsnit"/>
    <w:rsid w:val="002F4D19"/>
  </w:style>
  <w:style w:type="paragraph" w:customStyle="1" w:styleId="liste1">
    <w:name w:val="liste1"/>
    <w:basedOn w:val="Normal"/>
    <w:rsid w:val="002F4D1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a-DK"/>
    </w:rPr>
  </w:style>
  <w:style w:type="character" w:customStyle="1" w:styleId="liste1nr">
    <w:name w:val="liste1nr"/>
    <w:basedOn w:val="Standardskrifttypeiafsnit"/>
    <w:rsid w:val="002F4D19"/>
  </w:style>
  <w:style w:type="paragraph" w:customStyle="1" w:styleId="stk2">
    <w:name w:val="stk2"/>
    <w:basedOn w:val="Normal"/>
    <w:rsid w:val="002F4D1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a-DK"/>
    </w:rPr>
  </w:style>
  <w:style w:type="character" w:customStyle="1" w:styleId="stknr">
    <w:name w:val="stknr"/>
    <w:basedOn w:val="Standardskrifttypeiafsnit"/>
    <w:rsid w:val="002F4D19"/>
  </w:style>
  <w:style w:type="paragraph" w:styleId="Listeafsnit">
    <w:name w:val="List Paragraph"/>
    <w:basedOn w:val="Normal"/>
    <w:uiPriority w:val="34"/>
    <w:qFormat/>
    <w:rsid w:val="002F4D1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1743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1743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1743B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1743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1743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oot xmlns="Workzone">
  <data id="B9C8395A-22D1-4D7C-9486-93FBFBEAF2F3">
    <value>2604476</value>
  </data>
  <data id="447B1C19-BC31-48A7-856E-A9F697E5C8B1">
    <value>Nordatlantkontoret</value>
  </data>
  <data id="4A247CA3-F186-4472-80F1-88BC39AA9062">
    <value>2020-491-0081</value>
  </data>
  <data id="9733590E-B905-4B87-B8C7-4FE6DE8F80A3">
    <value>Nanna Thorbøll</value>
  </data>
  <data id="B480A2E6-4AA4-46BB-A3EB-50BB1BF32DCA">
    <value>Madsen</value>
  </data>
</Root>
</file>

<file path=customXml/item2.xml><?xml version="1.0" encoding="utf-8"?>
<Root xmlns="Capti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3DB7A-AC71-4B6A-A0E1-D4D44D538089}">
  <ds:schemaRefs>
    <ds:schemaRef ds:uri="Workzone"/>
  </ds:schemaRefs>
</ds:datastoreItem>
</file>

<file path=customXml/itemProps2.xml><?xml version="1.0" encoding="utf-8"?>
<ds:datastoreItem xmlns:ds="http://schemas.openxmlformats.org/officeDocument/2006/customXml" ds:itemID="{ACDD204A-7D68-45D9-B4F6-337D14719E44}">
  <ds:schemaRefs>
    <ds:schemaRef ds:uri="Captia"/>
  </ds:schemaRefs>
</ds:datastoreItem>
</file>

<file path=customXml/itemProps3.xml><?xml version="1.0" encoding="utf-8"?>
<ds:datastoreItem xmlns:ds="http://schemas.openxmlformats.org/officeDocument/2006/customXml" ds:itemID="{B284F082-01A0-4D56-9363-43C32ECD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585</Words>
  <Characters>3473</Characters>
  <Application>Microsoft Office Word</Application>
  <DocSecurity>0</DocSecurity>
  <Lines>78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Nanna Thorbøll Madsen</dc:creator>
  <cp:lastModifiedBy>Malene Brixen Lynggaard Jensen</cp:lastModifiedBy>
  <cp:revision>7</cp:revision>
  <cp:lastPrinted>2022-12-22T08:43:00Z</cp:lastPrinted>
  <dcterms:created xsi:type="dcterms:W3CDTF">2023-04-20T09:07:00Z</dcterms:created>
  <dcterms:modified xsi:type="dcterms:W3CDTF">2023-04-26T14:12:00Z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