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59D8" w14:textId="0F8B8A00" w:rsidR="00895D86" w:rsidRPr="008A6992" w:rsidRDefault="00895D86" w:rsidP="00895D86">
      <w:pPr>
        <w:jc w:val="center"/>
        <w:rPr>
          <w:rFonts w:cs="Times New Roman"/>
          <w:b/>
          <w:sz w:val="32"/>
          <w:szCs w:val="32"/>
          <w:lang w:val="fo-FO"/>
        </w:rPr>
      </w:pPr>
      <w:r w:rsidRPr="008A6992">
        <w:rPr>
          <w:noProof/>
          <w:lang w:val="fo-FO" w:eastAsia="fo-FO"/>
        </w:rPr>
        <w:drawing>
          <wp:anchor distT="0" distB="0" distL="114300" distR="114300" simplePos="0" relativeHeight="251659264" behindDoc="0" locked="0" layoutInCell="1" allowOverlap="1" wp14:anchorId="319E9EB8" wp14:editId="2D3BCF3D">
            <wp:simplePos x="0" y="0"/>
            <wp:positionH relativeFrom="column">
              <wp:posOffset>2600325</wp:posOffset>
            </wp:positionH>
            <wp:positionV relativeFrom="paragraph">
              <wp:posOffset>0</wp:posOffset>
            </wp:positionV>
            <wp:extent cx="619125" cy="660400"/>
            <wp:effectExtent l="0" t="0" r="9525" b="6350"/>
            <wp:wrapTopAndBottom/>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pic:spPr>
                </pic:pic>
              </a:graphicData>
            </a:graphic>
            <wp14:sizeRelH relativeFrom="margin">
              <wp14:pctWidth>0</wp14:pctWidth>
            </wp14:sizeRelH>
            <wp14:sizeRelV relativeFrom="margin">
              <wp14:pctHeight>0</wp14:pctHeight>
            </wp14:sizeRelV>
          </wp:anchor>
        </w:drawing>
      </w:r>
      <w:r w:rsidR="008A6992" w:rsidRPr="008A6992">
        <w:rPr>
          <w:rFonts w:cs="Times New Roman"/>
          <w:b/>
          <w:sz w:val="32"/>
          <w:szCs w:val="32"/>
          <w:lang w:val="fo-FO"/>
        </w:rPr>
        <w:t>Umhvørvis- og vinnumálaráðið</w:t>
      </w:r>
    </w:p>
    <w:p w14:paraId="1FF39DCB" w14:textId="77777777" w:rsidR="00895D86" w:rsidRPr="008A6992" w:rsidRDefault="00895D86" w:rsidP="00895D86">
      <w:pPr>
        <w:rPr>
          <w:rStyle w:val="TypografiFed"/>
          <w:lang w:val="fo-FO"/>
        </w:rPr>
      </w:pPr>
    </w:p>
    <w:p w14:paraId="5FF944FE" w14:textId="77777777" w:rsidR="00895D86" w:rsidRPr="008A6992" w:rsidRDefault="00895D86" w:rsidP="00895D86">
      <w:pPr>
        <w:rPr>
          <w:lang w:val="fo-FO"/>
        </w:rPr>
      </w:pPr>
    </w:p>
    <w:tbl>
      <w:tblPr>
        <w:tblW w:w="0" w:type="auto"/>
        <w:jc w:val="right"/>
        <w:tblLook w:val="04A0" w:firstRow="1" w:lastRow="0" w:firstColumn="1" w:lastColumn="0" w:noHBand="0" w:noVBand="1"/>
      </w:tblPr>
      <w:tblGrid>
        <w:gridCol w:w="1445"/>
        <w:gridCol w:w="1546"/>
      </w:tblGrid>
      <w:tr w:rsidR="00173350" w:rsidRPr="008A6992" w14:paraId="22EADAA7" w14:textId="77777777" w:rsidTr="008A6992">
        <w:trPr>
          <w:trHeight w:val="228"/>
          <w:jc w:val="right"/>
        </w:trPr>
        <w:tc>
          <w:tcPr>
            <w:tcW w:w="1445" w:type="dxa"/>
            <w:hideMark/>
          </w:tcPr>
          <w:p w14:paraId="78D8B2B7" w14:textId="77777777" w:rsidR="00173350" w:rsidRPr="008A6992" w:rsidRDefault="00173350">
            <w:pPr>
              <w:rPr>
                <w:sz w:val="20"/>
                <w:szCs w:val="18"/>
                <w:lang w:val="fo-FO" w:eastAsia="fo-FO"/>
              </w:rPr>
            </w:pPr>
            <w:r w:rsidRPr="008A6992">
              <w:rPr>
                <w:sz w:val="20"/>
                <w:szCs w:val="18"/>
                <w:lang w:val="fo-FO"/>
              </w:rPr>
              <w:t>Dagfesting:</w:t>
            </w:r>
            <w:r w:rsidRPr="008A6992">
              <w:rPr>
                <w:noProof/>
                <w:sz w:val="20"/>
                <w:szCs w:val="18"/>
                <w:lang w:val="fo-FO"/>
              </w:rPr>
              <w:t xml:space="preserve"> </w:t>
            </w:r>
          </w:p>
        </w:tc>
        <w:tc>
          <w:tcPr>
            <w:tcW w:w="1546" w:type="dxa"/>
            <w:hideMark/>
          </w:tcPr>
          <w:p w14:paraId="2C4D0CA5" w14:textId="5652FF68" w:rsidR="00173350" w:rsidRPr="008A6992" w:rsidRDefault="008A6992">
            <w:pPr>
              <w:tabs>
                <w:tab w:val="center" w:pos="4513"/>
                <w:tab w:val="right" w:pos="9026"/>
              </w:tabs>
              <w:rPr>
                <w:sz w:val="20"/>
                <w:szCs w:val="18"/>
                <w:lang w:val="fo-FO"/>
              </w:rPr>
            </w:pPr>
            <w:r>
              <w:rPr>
                <w:sz w:val="20"/>
                <w:szCs w:val="18"/>
                <w:lang w:val="fo-FO"/>
              </w:rPr>
              <w:t>2</w:t>
            </w:r>
            <w:r w:rsidR="008C38B0">
              <w:rPr>
                <w:sz w:val="20"/>
                <w:szCs w:val="18"/>
                <w:lang w:val="fo-FO"/>
              </w:rPr>
              <w:t>6</w:t>
            </w:r>
            <w:r>
              <w:rPr>
                <w:sz w:val="20"/>
                <w:szCs w:val="18"/>
                <w:lang w:val="fo-FO"/>
              </w:rPr>
              <w:t xml:space="preserve">. </w:t>
            </w:r>
            <w:r w:rsidR="003E0523">
              <w:rPr>
                <w:sz w:val="20"/>
                <w:szCs w:val="18"/>
                <w:lang w:val="fo-FO"/>
              </w:rPr>
              <w:t>august</w:t>
            </w:r>
            <w:r>
              <w:rPr>
                <w:sz w:val="20"/>
                <w:szCs w:val="18"/>
                <w:lang w:val="fo-FO"/>
              </w:rPr>
              <w:t xml:space="preserve"> 2022</w:t>
            </w:r>
          </w:p>
        </w:tc>
      </w:tr>
      <w:tr w:rsidR="00173350" w:rsidRPr="008A6992" w14:paraId="6FDFD153" w14:textId="77777777" w:rsidTr="008A6992">
        <w:trPr>
          <w:trHeight w:val="240"/>
          <w:jc w:val="right"/>
        </w:trPr>
        <w:tc>
          <w:tcPr>
            <w:tcW w:w="1445" w:type="dxa"/>
            <w:hideMark/>
          </w:tcPr>
          <w:p w14:paraId="26D301CD" w14:textId="77777777" w:rsidR="00173350" w:rsidRPr="008A6992" w:rsidRDefault="00173350">
            <w:pPr>
              <w:rPr>
                <w:sz w:val="20"/>
                <w:szCs w:val="18"/>
                <w:lang w:val="fo-FO"/>
              </w:rPr>
            </w:pPr>
            <w:r w:rsidRPr="008A6992">
              <w:rPr>
                <w:sz w:val="20"/>
                <w:szCs w:val="18"/>
                <w:lang w:val="fo-FO"/>
              </w:rPr>
              <w:t>Mál nr.:</w:t>
            </w:r>
          </w:p>
        </w:tc>
        <w:tc>
          <w:tcPr>
            <w:tcW w:w="1546" w:type="dxa"/>
            <w:hideMark/>
          </w:tcPr>
          <w:p w14:paraId="07F8D3BE" w14:textId="0515C99B" w:rsidR="00173350" w:rsidRPr="008A6992" w:rsidRDefault="008A6992">
            <w:pPr>
              <w:tabs>
                <w:tab w:val="center" w:pos="4513"/>
                <w:tab w:val="right" w:pos="9026"/>
              </w:tabs>
              <w:rPr>
                <w:sz w:val="20"/>
                <w:szCs w:val="18"/>
                <w:lang w:val="fo-FO"/>
              </w:rPr>
            </w:pPr>
            <w:r>
              <w:rPr>
                <w:sz w:val="20"/>
                <w:szCs w:val="18"/>
                <w:lang w:val="fo-FO"/>
              </w:rPr>
              <w:t>21/06449</w:t>
            </w:r>
            <w:r w:rsidR="00E821E5">
              <w:rPr>
                <w:sz w:val="20"/>
                <w:szCs w:val="18"/>
                <w:lang w:val="fo-FO"/>
              </w:rPr>
              <w:t>-9</w:t>
            </w:r>
          </w:p>
        </w:tc>
      </w:tr>
      <w:tr w:rsidR="00173350" w:rsidRPr="008A6992" w14:paraId="55A6272A" w14:textId="77777777" w:rsidTr="008A6992">
        <w:trPr>
          <w:trHeight w:val="228"/>
          <w:jc w:val="right"/>
        </w:trPr>
        <w:tc>
          <w:tcPr>
            <w:tcW w:w="1445" w:type="dxa"/>
            <w:hideMark/>
          </w:tcPr>
          <w:p w14:paraId="786E4AEB" w14:textId="77777777" w:rsidR="00173350" w:rsidRPr="008A6992" w:rsidRDefault="00173350">
            <w:pPr>
              <w:rPr>
                <w:sz w:val="20"/>
                <w:szCs w:val="18"/>
                <w:lang w:val="fo-FO"/>
              </w:rPr>
            </w:pPr>
            <w:r w:rsidRPr="008A6992">
              <w:rPr>
                <w:sz w:val="20"/>
                <w:szCs w:val="18"/>
                <w:lang w:val="fo-FO"/>
              </w:rPr>
              <w:t>Málsviðgjørt:</w:t>
            </w:r>
          </w:p>
        </w:tc>
        <w:tc>
          <w:tcPr>
            <w:tcW w:w="1546" w:type="dxa"/>
            <w:hideMark/>
          </w:tcPr>
          <w:p w14:paraId="3A3D1D9F" w14:textId="3B9E36CC" w:rsidR="00173350" w:rsidRPr="008A6992" w:rsidRDefault="008A6992">
            <w:pPr>
              <w:tabs>
                <w:tab w:val="center" w:pos="4513"/>
                <w:tab w:val="right" w:pos="9026"/>
              </w:tabs>
              <w:rPr>
                <w:sz w:val="20"/>
                <w:szCs w:val="18"/>
                <w:lang w:val="fo-FO"/>
              </w:rPr>
            </w:pPr>
            <w:proofErr w:type="spellStart"/>
            <w:r>
              <w:rPr>
                <w:sz w:val="20"/>
                <w:szCs w:val="18"/>
                <w:lang w:val="fo-FO"/>
              </w:rPr>
              <w:t>jd</w:t>
            </w:r>
            <w:proofErr w:type="spellEnd"/>
          </w:p>
        </w:tc>
      </w:tr>
      <w:tr w:rsidR="00173350" w:rsidRPr="008A6992" w14:paraId="6E9A12D6" w14:textId="77777777" w:rsidTr="008A6992">
        <w:trPr>
          <w:trHeight w:val="228"/>
          <w:jc w:val="right"/>
        </w:trPr>
        <w:tc>
          <w:tcPr>
            <w:tcW w:w="1445" w:type="dxa"/>
            <w:hideMark/>
          </w:tcPr>
          <w:p w14:paraId="62395E42" w14:textId="77777777" w:rsidR="00173350" w:rsidRPr="008A6992" w:rsidRDefault="00173350">
            <w:pPr>
              <w:rPr>
                <w:sz w:val="20"/>
                <w:szCs w:val="18"/>
                <w:lang w:val="fo-FO"/>
              </w:rPr>
            </w:pPr>
            <w:r w:rsidRPr="008A6992">
              <w:rPr>
                <w:sz w:val="20"/>
                <w:szCs w:val="18"/>
                <w:lang w:val="fo-FO"/>
              </w:rPr>
              <w:t>Ummælistíð:</w:t>
            </w:r>
          </w:p>
        </w:tc>
        <w:tc>
          <w:tcPr>
            <w:tcW w:w="1546" w:type="dxa"/>
            <w:hideMark/>
          </w:tcPr>
          <w:p w14:paraId="4DE1E850" w14:textId="25913E42" w:rsidR="00173350" w:rsidRPr="008D5694" w:rsidRDefault="008D5694">
            <w:pPr>
              <w:tabs>
                <w:tab w:val="center" w:pos="4513"/>
                <w:tab w:val="right" w:pos="9026"/>
              </w:tabs>
              <w:rPr>
                <w:sz w:val="20"/>
                <w:szCs w:val="18"/>
                <w:lang w:val="fo-FO"/>
              </w:rPr>
            </w:pPr>
            <w:r w:rsidRPr="008D5694">
              <w:rPr>
                <w:sz w:val="20"/>
                <w:szCs w:val="18"/>
                <w:lang w:val="fo-FO"/>
              </w:rPr>
              <w:t>2</w:t>
            </w:r>
            <w:r w:rsidR="008C38B0">
              <w:rPr>
                <w:sz w:val="20"/>
                <w:szCs w:val="18"/>
                <w:lang w:val="fo-FO"/>
              </w:rPr>
              <w:t>6</w:t>
            </w:r>
            <w:r w:rsidRPr="008D5694">
              <w:rPr>
                <w:sz w:val="20"/>
                <w:szCs w:val="18"/>
                <w:lang w:val="fo-FO"/>
              </w:rPr>
              <w:t>. august-2</w:t>
            </w:r>
            <w:r w:rsidR="008C38B0">
              <w:rPr>
                <w:sz w:val="20"/>
                <w:szCs w:val="18"/>
                <w:lang w:val="fo-FO"/>
              </w:rPr>
              <w:t>3</w:t>
            </w:r>
            <w:r w:rsidRPr="008D5694">
              <w:rPr>
                <w:sz w:val="20"/>
                <w:szCs w:val="18"/>
                <w:lang w:val="fo-FO"/>
              </w:rPr>
              <w:t>. september 2022</w:t>
            </w:r>
          </w:p>
        </w:tc>
      </w:tr>
      <w:tr w:rsidR="00173350" w:rsidRPr="008A6992" w14:paraId="2A1571C6" w14:textId="77777777" w:rsidTr="008A6992">
        <w:trPr>
          <w:trHeight w:val="375"/>
          <w:jc w:val="right"/>
        </w:trPr>
        <w:tc>
          <w:tcPr>
            <w:tcW w:w="1445" w:type="dxa"/>
            <w:hideMark/>
          </w:tcPr>
          <w:p w14:paraId="27D18A6A" w14:textId="77777777" w:rsidR="00173350" w:rsidRPr="008A6992" w:rsidRDefault="00173350">
            <w:pPr>
              <w:rPr>
                <w:sz w:val="20"/>
                <w:szCs w:val="18"/>
                <w:lang w:val="fo-FO"/>
              </w:rPr>
            </w:pPr>
            <w:r w:rsidRPr="008A6992">
              <w:rPr>
                <w:sz w:val="20"/>
                <w:szCs w:val="18"/>
                <w:lang w:val="fo-FO"/>
              </w:rPr>
              <w:t>Eftirkannað:</w:t>
            </w:r>
          </w:p>
        </w:tc>
        <w:tc>
          <w:tcPr>
            <w:tcW w:w="1546" w:type="dxa"/>
            <w:hideMark/>
          </w:tcPr>
          <w:p w14:paraId="2CB7C2ED" w14:textId="77777777" w:rsidR="00173350" w:rsidRPr="008A6992" w:rsidRDefault="00173350">
            <w:pPr>
              <w:tabs>
                <w:tab w:val="center" w:pos="4513"/>
                <w:tab w:val="right" w:pos="9026"/>
              </w:tabs>
              <w:rPr>
                <w:sz w:val="20"/>
                <w:szCs w:val="18"/>
                <w:highlight w:val="yellow"/>
                <w:lang w:val="fo-FO"/>
              </w:rPr>
            </w:pPr>
            <w:r w:rsidRPr="008A6992">
              <w:rPr>
                <w:sz w:val="20"/>
                <w:szCs w:val="18"/>
                <w:highlight w:val="yellow"/>
                <w:lang w:val="fo-FO"/>
              </w:rPr>
              <w:t>Lógartænastan</w:t>
            </w:r>
          </w:p>
          <w:p w14:paraId="20BDBD57" w14:textId="77777777" w:rsidR="00173350" w:rsidRPr="008A6992" w:rsidRDefault="00173350">
            <w:pPr>
              <w:tabs>
                <w:tab w:val="center" w:pos="4513"/>
                <w:tab w:val="right" w:pos="9026"/>
              </w:tabs>
              <w:rPr>
                <w:sz w:val="20"/>
                <w:szCs w:val="18"/>
                <w:highlight w:val="yellow"/>
                <w:lang w:val="fo-FO"/>
              </w:rPr>
            </w:pPr>
            <w:r w:rsidRPr="008A6992">
              <w:rPr>
                <w:sz w:val="20"/>
                <w:szCs w:val="18"/>
                <w:highlight w:val="yellow"/>
                <w:lang w:val="fo-FO"/>
              </w:rPr>
              <w:t xml:space="preserve">dagfestir </w:t>
            </w:r>
          </w:p>
        </w:tc>
      </w:tr>
    </w:tbl>
    <w:p w14:paraId="13BA7121" w14:textId="77777777" w:rsidR="00895D86" w:rsidRPr="008A6992" w:rsidRDefault="00895D86" w:rsidP="00895D86">
      <w:pPr>
        <w:rPr>
          <w:szCs w:val="24"/>
          <w:lang w:val="fo-FO"/>
        </w:rPr>
      </w:pPr>
    </w:p>
    <w:p w14:paraId="7292BB4E" w14:textId="77777777" w:rsidR="00895D86" w:rsidRPr="008A6992" w:rsidRDefault="00895D86" w:rsidP="00895D86">
      <w:pPr>
        <w:rPr>
          <w:rFonts w:cs="Times New Roman"/>
          <w:szCs w:val="24"/>
          <w:lang w:val="fo-FO"/>
        </w:rPr>
      </w:pPr>
    </w:p>
    <w:p w14:paraId="022881A5" w14:textId="77777777" w:rsidR="00895D86" w:rsidRPr="008A6992" w:rsidRDefault="00895D86" w:rsidP="00895D86">
      <w:pPr>
        <w:rPr>
          <w:lang w:val="fo-FO"/>
        </w:rPr>
      </w:pPr>
    </w:p>
    <w:p w14:paraId="67025667" w14:textId="77777777" w:rsidR="00895D86" w:rsidRPr="008A6992" w:rsidRDefault="00895D86" w:rsidP="00895D86">
      <w:pPr>
        <w:jc w:val="center"/>
        <w:rPr>
          <w:rFonts w:cs="Times New Roman"/>
          <w:b/>
          <w:szCs w:val="24"/>
          <w:lang w:val="fo-FO"/>
        </w:rPr>
      </w:pPr>
      <w:r w:rsidRPr="008A6992">
        <w:rPr>
          <w:rFonts w:cs="Times New Roman"/>
          <w:b/>
          <w:szCs w:val="24"/>
          <w:lang w:val="fo-FO"/>
        </w:rPr>
        <w:t>Uppskot til</w:t>
      </w:r>
    </w:p>
    <w:p w14:paraId="5FB9A7DA" w14:textId="77777777" w:rsidR="00895D86" w:rsidRPr="008A6992" w:rsidRDefault="00895D86" w:rsidP="00895D86">
      <w:pPr>
        <w:jc w:val="center"/>
        <w:rPr>
          <w:rFonts w:cs="Times New Roman"/>
          <w:b/>
          <w:szCs w:val="24"/>
          <w:lang w:val="fo-FO"/>
        </w:rPr>
      </w:pPr>
    </w:p>
    <w:p w14:paraId="70693F64" w14:textId="21C8A858" w:rsidR="00895D86" w:rsidRDefault="00895D86" w:rsidP="00895D86">
      <w:pPr>
        <w:jc w:val="center"/>
        <w:rPr>
          <w:rFonts w:cs="Times New Roman"/>
          <w:b/>
          <w:szCs w:val="24"/>
          <w:lang w:val="fo-FO"/>
        </w:rPr>
      </w:pPr>
      <w:r w:rsidRPr="008A6992">
        <w:rPr>
          <w:rFonts w:cs="Times New Roman"/>
          <w:b/>
          <w:szCs w:val="24"/>
          <w:lang w:val="fo-FO"/>
        </w:rPr>
        <w:t>Kunngerð</w:t>
      </w:r>
    </w:p>
    <w:p w14:paraId="29EEF63C" w14:textId="77777777" w:rsidR="0023662A" w:rsidRPr="008A6992" w:rsidRDefault="0023662A" w:rsidP="00895D86">
      <w:pPr>
        <w:jc w:val="center"/>
        <w:rPr>
          <w:rFonts w:cs="Times New Roman"/>
          <w:b/>
          <w:szCs w:val="24"/>
          <w:lang w:val="fo-FO"/>
        </w:rPr>
      </w:pPr>
    </w:p>
    <w:p w14:paraId="10B1E06F" w14:textId="495ABC9F" w:rsidR="00895D86" w:rsidRDefault="0023662A" w:rsidP="00895D86">
      <w:pPr>
        <w:jc w:val="center"/>
        <w:rPr>
          <w:rFonts w:cs="Times New Roman"/>
          <w:b/>
          <w:szCs w:val="24"/>
          <w:lang w:val="fo-FO"/>
        </w:rPr>
      </w:pPr>
      <w:r>
        <w:rPr>
          <w:rFonts w:cs="Times New Roman"/>
          <w:b/>
          <w:szCs w:val="24"/>
          <w:lang w:val="fo-FO"/>
        </w:rPr>
        <w:t>u</w:t>
      </w:r>
      <w:r w:rsidR="00895D86" w:rsidRPr="008A6992">
        <w:rPr>
          <w:rFonts w:cs="Times New Roman"/>
          <w:b/>
          <w:szCs w:val="24"/>
          <w:lang w:val="fo-FO"/>
        </w:rPr>
        <w:t>m</w:t>
      </w:r>
    </w:p>
    <w:p w14:paraId="11E823A4" w14:textId="77777777" w:rsidR="0023662A" w:rsidRPr="008A6992" w:rsidRDefault="0023662A" w:rsidP="00895D86">
      <w:pPr>
        <w:jc w:val="center"/>
        <w:rPr>
          <w:rFonts w:cs="Times New Roman"/>
          <w:b/>
          <w:szCs w:val="24"/>
          <w:lang w:val="fo-FO"/>
        </w:rPr>
      </w:pPr>
    </w:p>
    <w:p w14:paraId="12FBB49B" w14:textId="51F43CAD" w:rsidR="00895D86" w:rsidRDefault="0023662A" w:rsidP="00895D86">
      <w:pPr>
        <w:jc w:val="center"/>
        <w:rPr>
          <w:rFonts w:cs="Times New Roman"/>
          <w:b/>
          <w:szCs w:val="24"/>
          <w:lang w:val="fo-FO"/>
        </w:rPr>
      </w:pPr>
      <w:r>
        <w:rPr>
          <w:rFonts w:cs="Times New Roman"/>
          <w:b/>
          <w:szCs w:val="24"/>
          <w:lang w:val="fo-FO"/>
        </w:rPr>
        <w:t xml:space="preserve">útrokning av </w:t>
      </w:r>
      <w:proofErr w:type="spellStart"/>
      <w:r>
        <w:rPr>
          <w:rFonts w:cs="Times New Roman"/>
          <w:b/>
          <w:szCs w:val="24"/>
          <w:lang w:val="fo-FO"/>
        </w:rPr>
        <w:t>kreditt</w:t>
      </w:r>
      <w:r w:rsidR="00386A7A">
        <w:rPr>
          <w:rFonts w:cs="Times New Roman"/>
          <w:b/>
          <w:szCs w:val="24"/>
          <w:lang w:val="fo-FO"/>
        </w:rPr>
        <w:t>útreiðslu</w:t>
      </w:r>
      <w:r>
        <w:rPr>
          <w:rFonts w:cs="Times New Roman"/>
          <w:b/>
          <w:szCs w:val="24"/>
          <w:lang w:val="fo-FO"/>
        </w:rPr>
        <w:t>m</w:t>
      </w:r>
      <w:proofErr w:type="spellEnd"/>
    </w:p>
    <w:p w14:paraId="30ACFBB4" w14:textId="7740EDFF" w:rsidR="00386A7A" w:rsidRDefault="00386A7A" w:rsidP="00895D86">
      <w:pPr>
        <w:jc w:val="center"/>
        <w:rPr>
          <w:rFonts w:cs="Times New Roman"/>
          <w:b/>
          <w:szCs w:val="24"/>
          <w:lang w:val="fo-FO"/>
        </w:rPr>
      </w:pPr>
    </w:p>
    <w:p w14:paraId="10F74607" w14:textId="77777777" w:rsidR="00386A7A" w:rsidRPr="008A6992" w:rsidRDefault="00386A7A" w:rsidP="00895D86">
      <w:pPr>
        <w:jc w:val="center"/>
        <w:rPr>
          <w:rFonts w:cs="Times New Roman"/>
          <w:b/>
          <w:szCs w:val="24"/>
          <w:lang w:val="fo-FO"/>
        </w:rPr>
      </w:pPr>
    </w:p>
    <w:p w14:paraId="5D4C4D36" w14:textId="77777777" w:rsidR="00895D86" w:rsidRPr="008A6992" w:rsidRDefault="00895D86" w:rsidP="00895D86">
      <w:pPr>
        <w:jc w:val="center"/>
        <w:rPr>
          <w:rFonts w:cs="Times New Roman"/>
          <w:b/>
          <w:szCs w:val="24"/>
          <w:lang w:val="fo-FO"/>
        </w:rPr>
      </w:pPr>
    </w:p>
    <w:p w14:paraId="533B0594" w14:textId="77777777" w:rsidR="00895D86" w:rsidRPr="008A6992" w:rsidRDefault="00895D86" w:rsidP="00895D86">
      <w:pPr>
        <w:rPr>
          <w:lang w:val="fo-FO"/>
        </w:rPr>
        <w:sectPr w:rsidR="00895D86" w:rsidRPr="008A6992" w:rsidSect="00895D86">
          <w:pgSz w:w="11906" w:h="16838"/>
          <w:pgMar w:top="1440" w:right="1440" w:bottom="1440" w:left="1440" w:header="709" w:footer="709" w:gutter="0"/>
          <w:cols w:space="708"/>
          <w:docGrid w:linePitch="360"/>
        </w:sectPr>
      </w:pPr>
    </w:p>
    <w:p w14:paraId="1A51ED5D" w14:textId="465ECC04" w:rsidR="00895D86" w:rsidRPr="008A6992" w:rsidRDefault="00895D86" w:rsidP="00895D86">
      <w:pPr>
        <w:rPr>
          <w:lang w:val="fo-FO"/>
        </w:rPr>
      </w:pPr>
      <w:r w:rsidRPr="008A6992">
        <w:rPr>
          <w:lang w:val="fo-FO"/>
        </w:rPr>
        <w:t xml:space="preserve">Við heimild í § </w:t>
      </w:r>
      <w:r w:rsidR="00907965">
        <w:rPr>
          <w:lang w:val="fo-FO"/>
        </w:rPr>
        <w:t xml:space="preserve">14, stk. 2 </w:t>
      </w:r>
      <w:r w:rsidRPr="008A6992">
        <w:rPr>
          <w:lang w:val="fo-FO"/>
        </w:rPr>
        <w:t>í løgtingslóg nr.</w:t>
      </w:r>
      <w:r w:rsidR="00907965">
        <w:rPr>
          <w:lang w:val="fo-FO"/>
        </w:rPr>
        <w:t xml:space="preserve"> 19 frá 8. mai 2008 um marknaðarføring</w:t>
      </w:r>
      <w:r w:rsidR="008D5694">
        <w:rPr>
          <w:lang w:val="fo-FO"/>
        </w:rPr>
        <w:t>, sum broytt við løgtingslóg nr. 50 frá 17. mai 2011, løgtingslóg nr. 46 frá 15. mai 2014, løgtingslóg nr. 47 frá 12. mai 2015, løgtingslóg nr. 91 fá 7. juni 2020 og løgtingslóg nr. 57 frá 2. mai 2022,</w:t>
      </w:r>
      <w:r w:rsidR="00907965">
        <w:rPr>
          <w:lang w:val="fo-FO"/>
        </w:rPr>
        <w:t xml:space="preserve"> </w:t>
      </w:r>
      <w:r w:rsidRPr="008A6992">
        <w:rPr>
          <w:lang w:val="fo-FO"/>
        </w:rPr>
        <w:t>verður ásett:</w:t>
      </w:r>
    </w:p>
    <w:p w14:paraId="540BC028" w14:textId="77777777" w:rsidR="00895D86" w:rsidRPr="008A6992" w:rsidRDefault="00895D86" w:rsidP="00895D86">
      <w:pPr>
        <w:rPr>
          <w:lang w:val="fo-FO"/>
        </w:rPr>
      </w:pPr>
    </w:p>
    <w:p w14:paraId="116F4036" w14:textId="2EF2CE55" w:rsidR="008A6992" w:rsidRDefault="00895D86" w:rsidP="00895D86">
      <w:pPr>
        <w:rPr>
          <w:lang w:val="fo-FO"/>
        </w:rPr>
      </w:pPr>
      <w:r w:rsidRPr="008A6992">
        <w:rPr>
          <w:b/>
          <w:lang w:val="fo-FO"/>
        </w:rPr>
        <w:t>§ 1.</w:t>
      </w:r>
      <w:r w:rsidRPr="008A6992">
        <w:rPr>
          <w:lang w:val="fo-FO"/>
        </w:rPr>
        <w:t xml:space="preserve"> </w:t>
      </w:r>
      <w:r w:rsidR="008A6992">
        <w:rPr>
          <w:lang w:val="fo-FO"/>
        </w:rPr>
        <w:t>Árlig</w:t>
      </w:r>
      <w:r w:rsidR="00386A7A">
        <w:rPr>
          <w:lang w:val="fo-FO"/>
        </w:rPr>
        <w:t>u</w:t>
      </w:r>
      <w:r w:rsidR="008A6992">
        <w:rPr>
          <w:lang w:val="fo-FO"/>
        </w:rPr>
        <w:t xml:space="preserve"> kostnaðirnir í prosentum verða roknaðir eftir </w:t>
      </w:r>
      <w:proofErr w:type="spellStart"/>
      <w:r w:rsidR="008A6992">
        <w:rPr>
          <w:lang w:val="fo-FO"/>
        </w:rPr>
        <w:t>nútíðarvirðinum</w:t>
      </w:r>
      <w:proofErr w:type="spellEnd"/>
      <w:r w:rsidR="008A6992">
        <w:rPr>
          <w:lang w:val="fo-FO"/>
        </w:rPr>
        <w:t xml:space="preserve"> á øllum komandi ella verandi árligum skyldum, </w:t>
      </w:r>
      <w:r w:rsidR="008C38B0">
        <w:rPr>
          <w:lang w:val="fo-FO"/>
        </w:rPr>
        <w:t xml:space="preserve">t.d. </w:t>
      </w:r>
      <w:r w:rsidR="008A6992">
        <w:rPr>
          <w:lang w:val="fo-FO"/>
        </w:rPr>
        <w:t>brúktum kredittmøguleikum, afturgjaldingum og kostnaðum, ið eru avtalað</w:t>
      </w:r>
      <w:r w:rsidR="008C38B0">
        <w:rPr>
          <w:lang w:val="fo-FO"/>
        </w:rPr>
        <w:t>a</w:t>
      </w:r>
      <w:r w:rsidR="008A6992">
        <w:rPr>
          <w:lang w:val="fo-FO"/>
        </w:rPr>
        <w:t xml:space="preserve">r millum kredittveitaran og brúkaran. </w:t>
      </w:r>
    </w:p>
    <w:p w14:paraId="605509C8" w14:textId="6DEB2F28" w:rsidR="008A6992" w:rsidRDefault="008A6992" w:rsidP="00895D86">
      <w:pPr>
        <w:rPr>
          <w:lang w:val="fo-FO"/>
        </w:rPr>
      </w:pPr>
      <w:r w:rsidRPr="008A6992">
        <w:rPr>
          <w:i/>
          <w:iCs/>
          <w:lang w:val="fo-FO"/>
        </w:rPr>
        <w:t>Stk. 2.</w:t>
      </w:r>
      <w:r>
        <w:rPr>
          <w:lang w:val="fo-FO"/>
        </w:rPr>
        <w:t xml:space="preserve"> Árligu kostnaðirnir í prosentum verða roknaðir eftir tí støddfrøðiliga formlinum í skjali 1 til hesa kunngerð. </w:t>
      </w:r>
    </w:p>
    <w:p w14:paraId="63C4FC86" w14:textId="504A7461" w:rsidR="008A6992" w:rsidRDefault="008A6992" w:rsidP="00895D86">
      <w:pPr>
        <w:rPr>
          <w:lang w:val="fo-FO"/>
        </w:rPr>
      </w:pPr>
      <w:r w:rsidRPr="008A6992">
        <w:rPr>
          <w:i/>
          <w:iCs/>
          <w:lang w:val="fo-FO"/>
        </w:rPr>
        <w:t>Stk. 3.</w:t>
      </w:r>
      <w:r>
        <w:rPr>
          <w:lang w:val="fo-FO"/>
        </w:rPr>
        <w:t xml:space="preserve"> Allir kostnaðir skulu verða roknaðir uppí, tá ið árligi kostnaðurin í prosentum fyri brúk</w:t>
      </w:r>
      <w:r w:rsidR="00907965">
        <w:rPr>
          <w:lang w:val="fo-FO"/>
        </w:rPr>
        <w:t>a</w:t>
      </w:r>
      <w:r>
        <w:rPr>
          <w:lang w:val="fo-FO"/>
        </w:rPr>
        <w:t>rakredittin verður ásettur, tó ikki</w:t>
      </w:r>
    </w:p>
    <w:p w14:paraId="799F372F" w14:textId="6247B3E4" w:rsidR="008A6992" w:rsidRDefault="008A6992" w:rsidP="00907965">
      <w:pPr>
        <w:pStyle w:val="Listeafsnit"/>
        <w:numPr>
          <w:ilvl w:val="0"/>
          <w:numId w:val="1"/>
        </w:numPr>
        <w:tabs>
          <w:tab w:val="left" w:pos="709"/>
        </w:tabs>
        <w:ind w:left="426" w:hanging="10"/>
        <w:rPr>
          <w:lang w:val="fo-FO"/>
        </w:rPr>
      </w:pPr>
      <w:r>
        <w:rPr>
          <w:lang w:val="fo-FO"/>
        </w:rPr>
        <w:t xml:space="preserve">aðrir kostnaðir, sum brúkarin skal gjalda í sambandi við, at hann hevur mishildið skyldur, sum ásettar eru í kredittavtaluni, og </w:t>
      </w:r>
    </w:p>
    <w:p w14:paraId="73CD3014" w14:textId="354BB922" w:rsidR="008A6992" w:rsidRDefault="008A6992" w:rsidP="00907965">
      <w:pPr>
        <w:pStyle w:val="Listeafsnit"/>
        <w:numPr>
          <w:ilvl w:val="0"/>
          <w:numId w:val="1"/>
        </w:numPr>
        <w:tabs>
          <w:tab w:val="left" w:pos="709"/>
        </w:tabs>
        <w:ind w:left="426" w:hanging="10"/>
        <w:rPr>
          <w:lang w:val="fo-FO"/>
        </w:rPr>
      </w:pPr>
      <w:r>
        <w:rPr>
          <w:lang w:val="fo-FO"/>
        </w:rPr>
        <w:t>kostnaðir, sum verða lagdir afturat keypsprísinum, sum brúkarin skal rinda fyri vørur og tænastur, sama um goldið verður kontant ella keypt verður upp á borg.</w:t>
      </w:r>
    </w:p>
    <w:p w14:paraId="350A2FF6" w14:textId="5F36A11F" w:rsidR="008A6992" w:rsidRDefault="008A6992" w:rsidP="008A6992">
      <w:pPr>
        <w:rPr>
          <w:lang w:val="fo-FO"/>
        </w:rPr>
      </w:pPr>
      <w:r w:rsidRPr="00907965">
        <w:rPr>
          <w:i/>
          <w:iCs/>
          <w:lang w:val="fo-FO"/>
        </w:rPr>
        <w:t>Stk. 4.</w:t>
      </w:r>
      <w:r>
        <w:rPr>
          <w:lang w:val="fo-FO"/>
        </w:rPr>
        <w:t xml:space="preserve"> Allur kostnaðurin fyri kredittavtaluna</w:t>
      </w:r>
      <w:r w:rsidR="00907965">
        <w:rPr>
          <w:lang w:val="fo-FO"/>
        </w:rPr>
        <w:t xml:space="preserve"> s</w:t>
      </w:r>
      <w:r>
        <w:rPr>
          <w:lang w:val="fo-FO"/>
        </w:rPr>
        <w:t xml:space="preserve">kal fevna um kostnaðin av at umsita kontuna, sum verður brúkt til kreditt og gjald, umframt aðrar kostnaðir, sum standast av kredittinum. Hetta er tó ikki galdandi, um tað ikki er eitt krav at stovna kontu, og tá ið kostnaðirnir annars eru greitt tilskilaðir í kredittavtaluni ella í aðrar avtalu við brúkaran. </w:t>
      </w:r>
    </w:p>
    <w:p w14:paraId="4E5E880D" w14:textId="1E4840B7" w:rsidR="008A6992" w:rsidRDefault="008A6992" w:rsidP="008A6992">
      <w:pPr>
        <w:rPr>
          <w:lang w:val="fo-FO"/>
        </w:rPr>
      </w:pPr>
      <w:r w:rsidRPr="00907965">
        <w:rPr>
          <w:i/>
          <w:iCs/>
          <w:lang w:val="fo-FO"/>
        </w:rPr>
        <w:t>Stk. 5.</w:t>
      </w:r>
      <w:r>
        <w:rPr>
          <w:lang w:val="fo-FO"/>
        </w:rPr>
        <w:t xml:space="preserve"> Útrokningin av árliga kostnaðinum í prosentum er grundað á ta fyritreyt, at kredittavtalan hevur gildi avtalaða tíðarskeiðið</w:t>
      </w:r>
      <w:r w:rsidR="00907965">
        <w:rPr>
          <w:lang w:val="fo-FO"/>
        </w:rPr>
        <w:t xml:space="preserve">, og at kredittveitarin og brúkarin halda sínar skyldur samsvarandi teimum treytum og tíðarfreistum, sum eru ásettar í kredittavtaluni. </w:t>
      </w:r>
    </w:p>
    <w:p w14:paraId="54E77F6D" w14:textId="6028F979" w:rsidR="00907965" w:rsidRDefault="00907965" w:rsidP="008A6992">
      <w:pPr>
        <w:rPr>
          <w:lang w:val="fo-FO"/>
        </w:rPr>
      </w:pPr>
      <w:r w:rsidRPr="00907965">
        <w:rPr>
          <w:i/>
          <w:iCs/>
          <w:lang w:val="fo-FO"/>
        </w:rPr>
        <w:t>Stk. 6.</w:t>
      </w:r>
      <w:r>
        <w:rPr>
          <w:lang w:val="fo-FO"/>
        </w:rPr>
        <w:t xml:space="preserve"> Fyri kredittavtalur, sum loyva skiftandi lánsrentu, og, har tað er viðkomandi, skiftandi kostnaðum, </w:t>
      </w:r>
      <w:r w:rsidR="00386A7A">
        <w:rPr>
          <w:lang w:val="fo-FO"/>
        </w:rPr>
        <w:t xml:space="preserve">sum </w:t>
      </w:r>
      <w:r>
        <w:rPr>
          <w:lang w:val="fo-FO"/>
        </w:rPr>
        <w:t>verða roknaðir upp í árligu kostnaðirnar í prosentum, men sum ikki kunnu verða gjørdir upp, tá ið árligi kostnaðurin í prosentum verður ásettur, verða árligu kostnaðirnir í prosentum roknaðir við tí fyritreyt, at lánsrenta og aðrir kostnaðir eru, sum upprunaliga ásett. Henda útrokning er galdandi, til kredittavtalan fer úr gildi.</w:t>
      </w:r>
    </w:p>
    <w:p w14:paraId="5B4A2BE2" w14:textId="372735B8" w:rsidR="00907965" w:rsidRPr="008A6992" w:rsidRDefault="00907965" w:rsidP="008A6992">
      <w:pPr>
        <w:rPr>
          <w:lang w:val="fo-FO"/>
        </w:rPr>
      </w:pPr>
      <w:r w:rsidRPr="00907965">
        <w:rPr>
          <w:i/>
          <w:iCs/>
          <w:lang w:val="fo-FO"/>
        </w:rPr>
        <w:t>Stk. 7.</w:t>
      </w:r>
      <w:r>
        <w:rPr>
          <w:lang w:val="fo-FO"/>
        </w:rPr>
        <w:t xml:space="preserve"> Í tann mun tað gerst neyðugt, kunnu </w:t>
      </w:r>
      <w:proofErr w:type="spellStart"/>
      <w:r>
        <w:rPr>
          <w:lang w:val="fo-FO"/>
        </w:rPr>
        <w:t>ískoytisfyritreytir</w:t>
      </w:r>
      <w:proofErr w:type="spellEnd"/>
      <w:r>
        <w:rPr>
          <w:lang w:val="fo-FO"/>
        </w:rPr>
        <w:t xml:space="preserve"> í skjali 1 í kunngerðini verða nýttar at rokna árligu kostnaðirn</w:t>
      </w:r>
      <w:r w:rsidR="008C38B0">
        <w:rPr>
          <w:lang w:val="fo-FO"/>
        </w:rPr>
        <w:t>a</w:t>
      </w:r>
      <w:r>
        <w:rPr>
          <w:lang w:val="fo-FO"/>
        </w:rPr>
        <w:t xml:space="preserve">r í prosentum.  </w:t>
      </w:r>
    </w:p>
    <w:p w14:paraId="6AF7EEC7" w14:textId="77777777" w:rsidR="00386A7A" w:rsidRDefault="00386A7A" w:rsidP="00895D86">
      <w:pPr>
        <w:rPr>
          <w:b/>
          <w:lang w:val="fo-FO"/>
        </w:rPr>
      </w:pPr>
    </w:p>
    <w:p w14:paraId="4133B596" w14:textId="688254B1" w:rsidR="00895D86" w:rsidRPr="008A6992" w:rsidRDefault="00895D86" w:rsidP="00895D86">
      <w:pPr>
        <w:rPr>
          <w:lang w:val="fo-FO"/>
        </w:rPr>
      </w:pPr>
      <w:r w:rsidRPr="008A6992">
        <w:rPr>
          <w:b/>
          <w:lang w:val="fo-FO"/>
        </w:rPr>
        <w:t>§ 2.</w:t>
      </w:r>
      <w:r w:rsidRPr="008A6992">
        <w:rPr>
          <w:lang w:val="fo-FO"/>
        </w:rPr>
        <w:t xml:space="preserve"> Henda kunngerð kemur í gildi dagin eftir, at hon er kunngjørd.</w:t>
      </w:r>
    </w:p>
    <w:p w14:paraId="77CA0A2A" w14:textId="77777777" w:rsidR="00895D86" w:rsidRPr="008A6992" w:rsidRDefault="00895D86" w:rsidP="00895D86">
      <w:pPr>
        <w:rPr>
          <w:rFonts w:cs="Times New Roman"/>
          <w:szCs w:val="24"/>
          <w:lang w:val="fo-FO"/>
        </w:rPr>
      </w:pPr>
    </w:p>
    <w:p w14:paraId="1CF4E2D3" w14:textId="77777777" w:rsidR="00895D86" w:rsidRPr="008A6992" w:rsidRDefault="00895D86" w:rsidP="00895D86">
      <w:pPr>
        <w:jc w:val="center"/>
        <w:rPr>
          <w:rFonts w:cs="Times New Roman"/>
          <w:szCs w:val="24"/>
          <w:lang w:val="fo-FO"/>
        </w:rPr>
        <w:sectPr w:rsidR="00895D86" w:rsidRPr="008A6992" w:rsidSect="00895D86">
          <w:type w:val="continuous"/>
          <w:pgSz w:w="11906" w:h="16838"/>
          <w:pgMar w:top="1440" w:right="1440" w:bottom="1440" w:left="1440" w:header="709" w:footer="709" w:gutter="0"/>
          <w:cols w:num="2" w:space="708"/>
          <w:docGrid w:linePitch="360"/>
        </w:sectPr>
      </w:pPr>
    </w:p>
    <w:p w14:paraId="79AE6BFA" w14:textId="77777777" w:rsidR="00895D86" w:rsidRPr="008A6992" w:rsidRDefault="00895D86" w:rsidP="00895D86">
      <w:pPr>
        <w:jc w:val="center"/>
        <w:rPr>
          <w:rFonts w:cs="Times New Roman"/>
          <w:szCs w:val="24"/>
          <w:lang w:val="fo-FO"/>
        </w:rPr>
      </w:pPr>
    </w:p>
    <w:p w14:paraId="33713FEB" w14:textId="77777777" w:rsidR="00895D86" w:rsidRPr="008A6992" w:rsidRDefault="00895D86" w:rsidP="00895D86">
      <w:pPr>
        <w:jc w:val="center"/>
        <w:rPr>
          <w:rFonts w:cs="Times New Roman"/>
          <w:szCs w:val="24"/>
          <w:lang w:val="fo-FO"/>
        </w:rPr>
      </w:pPr>
    </w:p>
    <w:p w14:paraId="1AADFC01" w14:textId="71E98F90" w:rsidR="00895D86" w:rsidRPr="008A6992" w:rsidRDefault="008A6992" w:rsidP="00895D86">
      <w:pPr>
        <w:jc w:val="center"/>
        <w:rPr>
          <w:rFonts w:cs="Times New Roman"/>
          <w:szCs w:val="24"/>
          <w:lang w:val="fo-FO"/>
        </w:rPr>
      </w:pPr>
      <w:r>
        <w:rPr>
          <w:rFonts w:cs="Times New Roman"/>
          <w:szCs w:val="24"/>
          <w:lang w:val="fo-FO"/>
        </w:rPr>
        <w:t>Umhvørvis- og vinnumálaráðið</w:t>
      </w:r>
      <w:r w:rsidR="00895D86" w:rsidRPr="008A6992">
        <w:rPr>
          <w:rFonts w:cs="Times New Roman"/>
          <w:szCs w:val="24"/>
          <w:lang w:val="fo-FO"/>
        </w:rPr>
        <w:t xml:space="preserve">, </w:t>
      </w:r>
      <w:r w:rsidR="00895D86" w:rsidRPr="008A6992">
        <w:rPr>
          <w:rFonts w:cs="Times New Roman"/>
          <w:szCs w:val="24"/>
          <w:highlight w:val="yellow"/>
          <w:lang w:val="fo-FO"/>
        </w:rPr>
        <w:t>dagfesting</w:t>
      </w:r>
    </w:p>
    <w:p w14:paraId="1FA97FD7" w14:textId="77777777" w:rsidR="00895D86" w:rsidRPr="008A6992" w:rsidRDefault="00895D86" w:rsidP="00895D86">
      <w:pPr>
        <w:jc w:val="center"/>
        <w:rPr>
          <w:rFonts w:cs="Times New Roman"/>
          <w:szCs w:val="24"/>
          <w:lang w:val="fo-FO"/>
        </w:rPr>
      </w:pPr>
    </w:p>
    <w:p w14:paraId="449A2DE7" w14:textId="77777777" w:rsidR="00895D86" w:rsidRPr="008A6992" w:rsidRDefault="00895D86" w:rsidP="00895D86">
      <w:pPr>
        <w:jc w:val="center"/>
        <w:rPr>
          <w:rFonts w:cs="Times New Roman"/>
          <w:szCs w:val="24"/>
          <w:lang w:val="fo-FO"/>
        </w:rPr>
      </w:pPr>
    </w:p>
    <w:p w14:paraId="69DFC5BE" w14:textId="734FA0F1" w:rsidR="00895D86" w:rsidRPr="008A6992" w:rsidRDefault="008A6992" w:rsidP="00895D86">
      <w:pPr>
        <w:jc w:val="center"/>
        <w:rPr>
          <w:rFonts w:cs="Times New Roman"/>
          <w:b/>
          <w:szCs w:val="24"/>
          <w:lang w:val="fo-FO"/>
        </w:rPr>
      </w:pPr>
      <w:r>
        <w:rPr>
          <w:rFonts w:cs="Times New Roman"/>
          <w:b/>
          <w:szCs w:val="24"/>
          <w:lang w:val="fo-FO"/>
        </w:rPr>
        <w:t>Magnus Rasmussen</w:t>
      </w:r>
    </w:p>
    <w:p w14:paraId="48B1E729" w14:textId="77777777" w:rsidR="00895D86" w:rsidRPr="008A6992" w:rsidRDefault="00895D86" w:rsidP="00895D86">
      <w:pPr>
        <w:jc w:val="center"/>
        <w:rPr>
          <w:rFonts w:cs="Times New Roman"/>
          <w:szCs w:val="24"/>
          <w:lang w:val="fo-FO"/>
        </w:rPr>
      </w:pPr>
      <w:r w:rsidRPr="008A6992">
        <w:rPr>
          <w:rFonts w:cs="Times New Roman"/>
          <w:szCs w:val="24"/>
          <w:lang w:val="fo-FO"/>
        </w:rPr>
        <w:t>landsstýrismaður</w:t>
      </w:r>
    </w:p>
    <w:p w14:paraId="6BFDE144" w14:textId="77777777" w:rsidR="00895D86" w:rsidRPr="008A6992" w:rsidRDefault="00895D86" w:rsidP="00895D86">
      <w:pPr>
        <w:jc w:val="right"/>
        <w:rPr>
          <w:rFonts w:cs="Times New Roman"/>
          <w:szCs w:val="24"/>
          <w:lang w:val="fo-FO"/>
        </w:rPr>
      </w:pPr>
    </w:p>
    <w:p w14:paraId="05B7D196" w14:textId="77777777" w:rsidR="00895D86" w:rsidRPr="008A6992" w:rsidRDefault="00895D86" w:rsidP="00895D86">
      <w:pPr>
        <w:jc w:val="right"/>
        <w:rPr>
          <w:rFonts w:cs="Times New Roman"/>
          <w:szCs w:val="24"/>
          <w:lang w:val="fo-FO"/>
        </w:rPr>
      </w:pPr>
    </w:p>
    <w:p w14:paraId="77F01FE9" w14:textId="73C87BF4" w:rsidR="00895D86" w:rsidRPr="008A6992" w:rsidRDefault="00895D86" w:rsidP="00895D86">
      <w:pPr>
        <w:jc w:val="right"/>
        <w:rPr>
          <w:rFonts w:cs="Times New Roman"/>
          <w:szCs w:val="24"/>
          <w:lang w:val="fo-FO"/>
        </w:rPr>
      </w:pPr>
      <w:r w:rsidRPr="008A6992">
        <w:rPr>
          <w:rFonts w:cs="Times New Roman"/>
          <w:szCs w:val="24"/>
          <w:lang w:val="fo-FO"/>
        </w:rPr>
        <w:t xml:space="preserve">/ </w:t>
      </w:r>
      <w:r w:rsidR="008A6992">
        <w:rPr>
          <w:rFonts w:cs="Times New Roman"/>
          <w:szCs w:val="24"/>
          <w:lang w:val="fo-FO"/>
        </w:rPr>
        <w:t>Herálvur Joensen</w:t>
      </w:r>
    </w:p>
    <w:p w14:paraId="5205253B" w14:textId="77777777" w:rsidR="00895D86" w:rsidRPr="008A6992" w:rsidRDefault="00895D86" w:rsidP="00895D86">
      <w:pPr>
        <w:jc w:val="right"/>
        <w:rPr>
          <w:rFonts w:cs="Times New Roman"/>
          <w:szCs w:val="24"/>
          <w:lang w:val="fo-FO"/>
        </w:rPr>
      </w:pPr>
    </w:p>
    <w:sectPr w:rsidR="00895D86" w:rsidRPr="008A6992" w:rsidSect="00895D86">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D4234"/>
    <w:multiLevelType w:val="hybridMultilevel"/>
    <w:tmpl w:val="13F2856E"/>
    <w:lvl w:ilvl="0" w:tplc="04060011">
      <w:start w:val="1"/>
      <w:numFmt w:val="decimal"/>
      <w:lvlText w:val="%1)"/>
      <w:lvlJc w:val="left"/>
      <w:pPr>
        <w:ind w:left="776" w:hanging="360"/>
      </w:pPr>
    </w:lvl>
    <w:lvl w:ilvl="1" w:tplc="04060019" w:tentative="1">
      <w:start w:val="1"/>
      <w:numFmt w:val="lowerLetter"/>
      <w:lvlText w:val="%2."/>
      <w:lvlJc w:val="left"/>
      <w:pPr>
        <w:ind w:left="1496" w:hanging="360"/>
      </w:pPr>
    </w:lvl>
    <w:lvl w:ilvl="2" w:tplc="0406001B" w:tentative="1">
      <w:start w:val="1"/>
      <w:numFmt w:val="lowerRoman"/>
      <w:lvlText w:val="%3."/>
      <w:lvlJc w:val="right"/>
      <w:pPr>
        <w:ind w:left="2216" w:hanging="180"/>
      </w:pPr>
    </w:lvl>
    <w:lvl w:ilvl="3" w:tplc="0406000F" w:tentative="1">
      <w:start w:val="1"/>
      <w:numFmt w:val="decimal"/>
      <w:lvlText w:val="%4."/>
      <w:lvlJc w:val="left"/>
      <w:pPr>
        <w:ind w:left="2936" w:hanging="360"/>
      </w:pPr>
    </w:lvl>
    <w:lvl w:ilvl="4" w:tplc="04060019" w:tentative="1">
      <w:start w:val="1"/>
      <w:numFmt w:val="lowerLetter"/>
      <w:lvlText w:val="%5."/>
      <w:lvlJc w:val="left"/>
      <w:pPr>
        <w:ind w:left="3656" w:hanging="360"/>
      </w:pPr>
    </w:lvl>
    <w:lvl w:ilvl="5" w:tplc="0406001B" w:tentative="1">
      <w:start w:val="1"/>
      <w:numFmt w:val="lowerRoman"/>
      <w:lvlText w:val="%6."/>
      <w:lvlJc w:val="right"/>
      <w:pPr>
        <w:ind w:left="4376" w:hanging="180"/>
      </w:pPr>
    </w:lvl>
    <w:lvl w:ilvl="6" w:tplc="0406000F" w:tentative="1">
      <w:start w:val="1"/>
      <w:numFmt w:val="decimal"/>
      <w:lvlText w:val="%7."/>
      <w:lvlJc w:val="left"/>
      <w:pPr>
        <w:ind w:left="5096" w:hanging="360"/>
      </w:pPr>
    </w:lvl>
    <w:lvl w:ilvl="7" w:tplc="04060019" w:tentative="1">
      <w:start w:val="1"/>
      <w:numFmt w:val="lowerLetter"/>
      <w:lvlText w:val="%8."/>
      <w:lvlJc w:val="left"/>
      <w:pPr>
        <w:ind w:left="5816" w:hanging="360"/>
      </w:pPr>
    </w:lvl>
    <w:lvl w:ilvl="8" w:tplc="0406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9E"/>
    <w:rsid w:val="0007295E"/>
    <w:rsid w:val="00081C11"/>
    <w:rsid w:val="00173350"/>
    <w:rsid w:val="002173D7"/>
    <w:rsid w:val="0023662A"/>
    <w:rsid w:val="00386A7A"/>
    <w:rsid w:val="003E0523"/>
    <w:rsid w:val="00527F70"/>
    <w:rsid w:val="00666543"/>
    <w:rsid w:val="00895D86"/>
    <w:rsid w:val="008A6992"/>
    <w:rsid w:val="008C38B0"/>
    <w:rsid w:val="008D5694"/>
    <w:rsid w:val="00907965"/>
    <w:rsid w:val="009B2FB0"/>
    <w:rsid w:val="00AA0A7D"/>
    <w:rsid w:val="00AF589B"/>
    <w:rsid w:val="00B52800"/>
    <w:rsid w:val="00BA50EE"/>
    <w:rsid w:val="00CC3DD4"/>
    <w:rsid w:val="00E821E5"/>
    <w:rsid w:val="00FC019E"/>
    <w:rsid w:val="00FC54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2244E"/>
  <w14:defaultImageDpi w14:val="330"/>
  <w15:chartTrackingRefBased/>
  <w15:docId w15:val="{21744463-7460-4A7D-98B9-D79373CF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8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cs="Times New Roman"/>
      <w:szCs w:val="24"/>
    </w:rPr>
  </w:style>
  <w:style w:type="paragraph" w:customStyle="1" w:styleId="Stk">
    <w:name w:val="Stk"/>
    <w:basedOn w:val="Normal"/>
    <w:rsid w:val="00AF589B"/>
    <w:pPr>
      <w:ind w:firstLine="170"/>
    </w:pPr>
    <w:rPr>
      <w:rFonts w:eastAsia="Times New Roman" w:cs="Times New Roman"/>
      <w:szCs w:val="24"/>
    </w:rPr>
  </w:style>
  <w:style w:type="paragraph" w:customStyle="1" w:styleId="Paragraftekst">
    <w:name w:val="Paragraftekst"/>
    <w:basedOn w:val="Normal"/>
    <w:next w:val="Normal"/>
    <w:rsid w:val="00AF589B"/>
    <w:pPr>
      <w:spacing w:before="240"/>
      <w:ind w:firstLine="170"/>
    </w:pPr>
    <w:rPr>
      <w:rFonts w:eastAsia="Times New Roman" w:cs="Times New Roman"/>
      <w:szCs w:val="24"/>
    </w:rPr>
  </w:style>
  <w:style w:type="character" w:customStyle="1" w:styleId="TypografiFed">
    <w:name w:val="Typografi Fed"/>
    <w:basedOn w:val="Standardskrifttypeiafsnit"/>
    <w:rsid w:val="00895D86"/>
    <w:rPr>
      <w:rFonts w:ascii="Times New Roman" w:hAnsi="Times New Roman" w:cs="Times New Roman" w:hint="default"/>
      <w:b/>
      <w:bCs/>
      <w:sz w:val="24"/>
    </w:rPr>
  </w:style>
  <w:style w:type="character" w:customStyle="1" w:styleId="TypografiKursiv">
    <w:name w:val="Typografi Kursiv"/>
    <w:basedOn w:val="Standardskrifttypeiafsnit"/>
    <w:rsid w:val="00895D86"/>
    <w:rPr>
      <w:rFonts w:ascii="Times New Roman" w:hAnsi="Times New Roman" w:cs="Times New Roman" w:hint="default"/>
      <w:i/>
      <w:iCs/>
      <w:sz w:val="24"/>
    </w:rPr>
  </w:style>
  <w:style w:type="paragraph" w:styleId="Listeafsnit">
    <w:name w:val="List Paragraph"/>
    <w:basedOn w:val="Normal"/>
    <w:uiPriority w:val="34"/>
    <w:qFormat/>
    <w:rsid w:val="008A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5746">
      <w:bodyDiv w:val="1"/>
      <w:marLeft w:val="0"/>
      <w:marRight w:val="0"/>
      <w:marTop w:val="0"/>
      <w:marBottom w:val="0"/>
      <w:divBdr>
        <w:top w:val="none" w:sz="0" w:space="0" w:color="auto"/>
        <w:left w:val="none" w:sz="0" w:space="0" w:color="auto"/>
        <w:bottom w:val="none" w:sz="0" w:space="0" w:color="auto"/>
        <w:right w:val="none" w:sz="0" w:space="0" w:color="auto"/>
      </w:divBdr>
    </w:div>
    <w:div w:id="18607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3155\Downloads\uppskot-til-kunnger&#240;%20(6).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uppskot-til-kunngerð (6)</Template>
  <TotalTime>200</TotalTime>
  <Pages>1</Pages>
  <Words>382</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Uppskot til kunngerð</vt:lpstr>
    </vt:vector>
  </TitlesOfParts>
  <Company>Lógartænastan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kunngerð</dc:title>
  <dc:subject>Uppskot til kunngerð</dc:subject>
  <dc:creator>Joanna Djurhuus</dc:creator>
  <cp:keywords>5. útgáva - desember 2020</cp:keywords>
  <dc:description>Uppskot til kunngerð 5. útgáva - desember 2020</dc:description>
  <cp:lastModifiedBy>Joanna Djurhuus</cp:lastModifiedBy>
  <cp:revision>7</cp:revision>
  <dcterms:created xsi:type="dcterms:W3CDTF">2022-07-25T09:45:00Z</dcterms:created>
  <dcterms:modified xsi:type="dcterms:W3CDTF">2022-08-25T07:04:00Z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